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98" w:rsidRPr="001B7CE6" w:rsidRDefault="00A74686" w:rsidP="006B4227">
      <w:pPr>
        <w:spacing w:after="0" w:line="240" w:lineRule="auto"/>
        <w:ind w:right="567"/>
        <w:rPr>
          <w:rFonts w:ascii="Georgia" w:eastAsia="Times New Roman" w:hAnsi="Georgia" w:cs="Arial"/>
          <w:b/>
          <w:sz w:val="20"/>
          <w:szCs w:val="20"/>
          <w:lang w:val="ro-RO"/>
        </w:rPr>
      </w:pPr>
      <w:r w:rsidRPr="00A74686">
        <w:rPr>
          <w:rFonts w:ascii="Georgia" w:eastAsia="Times New Roman" w:hAnsi="Georgia" w:cs="Arial"/>
          <w:b/>
          <w:noProof/>
          <w:sz w:val="20"/>
          <w:szCs w:val="20"/>
        </w:rPr>
        <w:drawing>
          <wp:anchor distT="0" distB="0" distL="114300" distR="114300" simplePos="0" relativeHeight="251659264" behindDoc="0" locked="0" layoutInCell="1" allowOverlap="1">
            <wp:simplePos x="0" y="0"/>
            <wp:positionH relativeFrom="margin">
              <wp:posOffset>910590</wp:posOffset>
            </wp:positionH>
            <wp:positionV relativeFrom="margin">
              <wp:posOffset>-653415</wp:posOffset>
            </wp:positionV>
            <wp:extent cx="3505200" cy="166687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05200" cy="1666875"/>
                    </a:xfrm>
                    <a:prstGeom prst="rect">
                      <a:avLst/>
                    </a:prstGeom>
                  </pic:spPr>
                </pic:pic>
              </a:graphicData>
            </a:graphic>
          </wp:anchor>
        </w:drawing>
      </w: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ED0B9A" w:rsidP="00A74686">
      <w:pPr>
        <w:spacing w:after="0" w:line="240" w:lineRule="auto"/>
        <w:ind w:right="567"/>
        <w:rPr>
          <w:rFonts w:ascii="Georgia" w:eastAsia="Times New Roman" w:hAnsi="Georgia" w:cs="Arial"/>
          <w:b/>
          <w:sz w:val="20"/>
          <w:szCs w:val="20"/>
          <w:lang w:val="ro-RO"/>
        </w:rPr>
      </w:pPr>
      <w:r w:rsidRPr="001B7CE6">
        <w:rPr>
          <w:rFonts w:ascii="Georgia" w:eastAsia="Times New Roman" w:hAnsi="Georgia" w:cs="Arial"/>
          <w:b/>
          <w:sz w:val="20"/>
          <w:szCs w:val="20"/>
          <w:lang w:val="ro-RO"/>
        </w:rPr>
        <w:t>Î</w:t>
      </w:r>
      <w:r w:rsidR="00A74686">
        <w:rPr>
          <w:rFonts w:ascii="Georgia" w:eastAsia="Times New Roman" w:hAnsi="Georgia" w:cs="Arial"/>
          <w:b/>
          <w:sz w:val="20"/>
          <w:szCs w:val="20"/>
          <w:lang w:val="ro-RO"/>
        </w:rPr>
        <w:t>n atenţia domnului:</w:t>
      </w:r>
    </w:p>
    <w:p w:rsidR="00A74686" w:rsidRDefault="006B4227" w:rsidP="00A74686">
      <w:pPr>
        <w:spacing w:after="0" w:line="240" w:lineRule="auto"/>
        <w:ind w:right="567"/>
        <w:rPr>
          <w:rFonts w:ascii="Georgia" w:eastAsia="Times New Roman" w:hAnsi="Georgia" w:cs="Arial"/>
          <w:b/>
          <w:sz w:val="20"/>
          <w:szCs w:val="20"/>
          <w:lang w:val="ro-RO"/>
        </w:rPr>
      </w:pPr>
      <w:r w:rsidRPr="001B7CE6">
        <w:rPr>
          <w:rFonts w:ascii="Georgia" w:eastAsia="Times New Roman" w:hAnsi="Georgia" w:cs="Arial"/>
          <w:b/>
          <w:sz w:val="20"/>
          <w:szCs w:val="20"/>
          <w:lang w:val="ro-RO"/>
        </w:rPr>
        <w:t>Veaceslav Negruţa</w:t>
      </w:r>
    </w:p>
    <w:p w:rsidR="006B4227" w:rsidRPr="00A74686" w:rsidRDefault="006B4227" w:rsidP="00A74686">
      <w:pPr>
        <w:spacing w:after="0" w:line="240" w:lineRule="auto"/>
        <w:ind w:right="567"/>
        <w:rPr>
          <w:rFonts w:ascii="Georgia" w:eastAsia="Times New Roman" w:hAnsi="Georgia" w:cs="Arial"/>
          <w:b/>
          <w:sz w:val="20"/>
          <w:szCs w:val="20"/>
          <w:lang w:val="ro-RO"/>
        </w:rPr>
      </w:pPr>
      <w:r w:rsidRPr="001B7CE6">
        <w:rPr>
          <w:rFonts w:ascii="Georgia" w:eastAsia="Times New Roman" w:hAnsi="Georgia" w:cs="Arial"/>
          <w:sz w:val="20"/>
          <w:szCs w:val="20"/>
          <w:lang w:val="ro-RO" w:eastAsia="ro-RO"/>
        </w:rPr>
        <w:t>Ministrul Finanţelor,</w:t>
      </w:r>
    </w:p>
    <w:p w:rsidR="006B4227" w:rsidRPr="001B7CE6" w:rsidRDefault="006B4227" w:rsidP="00A74686">
      <w:pPr>
        <w:spacing w:after="0" w:line="240" w:lineRule="auto"/>
        <w:rPr>
          <w:rFonts w:ascii="Georgia" w:eastAsia="Times New Roman" w:hAnsi="Georgia" w:cs="Arial"/>
          <w:sz w:val="20"/>
          <w:szCs w:val="20"/>
          <w:lang w:val="ro-RO"/>
        </w:rPr>
      </w:pPr>
      <w:r w:rsidRPr="001B7CE6">
        <w:rPr>
          <w:rFonts w:ascii="Georgia" w:eastAsia="Times New Roman" w:hAnsi="Georgia" w:cs="Arial"/>
          <w:sz w:val="20"/>
          <w:szCs w:val="20"/>
          <w:lang w:val="ro-RO"/>
        </w:rPr>
        <w:t>str. Cosmonauţilor, 7</w:t>
      </w:r>
    </w:p>
    <w:p w:rsidR="006B4227" w:rsidRPr="001B7CE6" w:rsidRDefault="006B4227" w:rsidP="00A74686">
      <w:pPr>
        <w:spacing w:after="0" w:line="240" w:lineRule="auto"/>
        <w:rPr>
          <w:rFonts w:ascii="Georgia" w:eastAsia="Times New Roman" w:hAnsi="Georgia" w:cs="Arial"/>
          <w:sz w:val="20"/>
          <w:szCs w:val="20"/>
          <w:lang w:val="ro-RO"/>
        </w:rPr>
      </w:pPr>
      <w:r w:rsidRPr="001B7CE6">
        <w:rPr>
          <w:rFonts w:ascii="Georgia" w:eastAsia="Times New Roman" w:hAnsi="Georgia" w:cs="Arial"/>
          <w:sz w:val="20"/>
          <w:szCs w:val="20"/>
          <w:lang w:val="ro-RO"/>
        </w:rPr>
        <w:t>mun. Chişinău</w:t>
      </w:r>
    </w:p>
    <w:p w:rsidR="006B4227" w:rsidRPr="001B7CE6" w:rsidRDefault="006B4227" w:rsidP="00A74686">
      <w:pPr>
        <w:spacing w:after="0" w:line="240" w:lineRule="auto"/>
        <w:ind w:right="567"/>
        <w:rPr>
          <w:rFonts w:ascii="Georgia" w:eastAsia="Times New Roman" w:hAnsi="Georgia" w:cs="Arial"/>
          <w:sz w:val="20"/>
          <w:szCs w:val="20"/>
          <w:lang w:val="ro-RO"/>
        </w:rPr>
      </w:pPr>
      <w:r w:rsidRPr="001B7CE6">
        <w:rPr>
          <w:rFonts w:ascii="Georgia" w:eastAsia="Times New Roman" w:hAnsi="Georgia" w:cs="Arial"/>
          <w:sz w:val="20"/>
          <w:szCs w:val="20"/>
          <w:lang w:val="ro-RO"/>
        </w:rPr>
        <w:t>Republica Moldova</w:t>
      </w:r>
    </w:p>
    <w:p w:rsidR="006B4227" w:rsidRPr="001B7CE6" w:rsidRDefault="006B4227" w:rsidP="006B4227">
      <w:pPr>
        <w:spacing w:after="0" w:line="240" w:lineRule="auto"/>
        <w:ind w:right="747"/>
        <w:rPr>
          <w:rFonts w:ascii="Georgia" w:eastAsia="Times New Roman" w:hAnsi="Georgia" w:cs="Arial"/>
          <w:sz w:val="20"/>
          <w:szCs w:val="20"/>
          <w:lang w:val="ro-RO"/>
        </w:rPr>
      </w:pPr>
    </w:p>
    <w:p w:rsidR="006B4227" w:rsidRPr="001B7CE6" w:rsidRDefault="006B4227" w:rsidP="006B4227">
      <w:pPr>
        <w:spacing w:after="0" w:line="240" w:lineRule="auto"/>
        <w:ind w:right="747"/>
        <w:rPr>
          <w:rFonts w:ascii="Georgia" w:eastAsia="Times New Roman" w:hAnsi="Georgia" w:cs="Arial"/>
          <w:sz w:val="20"/>
          <w:szCs w:val="20"/>
          <w:lang w:val="ro-RO"/>
        </w:rPr>
      </w:pPr>
    </w:p>
    <w:p w:rsidR="006B4227" w:rsidRPr="001B7CE6" w:rsidRDefault="006B4227" w:rsidP="006B4227">
      <w:pPr>
        <w:pStyle w:val="BodyText"/>
        <w:rPr>
          <w:lang w:val="ro-RO"/>
        </w:rPr>
      </w:pPr>
    </w:p>
    <w:p w:rsidR="006B4227" w:rsidRPr="001B7CE6" w:rsidRDefault="00A74686" w:rsidP="006B4227">
      <w:pPr>
        <w:spacing w:line="240" w:lineRule="auto"/>
        <w:ind w:right="747"/>
        <w:rPr>
          <w:rFonts w:ascii="Georgia" w:hAnsi="Georgia" w:cs="Arial"/>
          <w:sz w:val="20"/>
          <w:szCs w:val="20"/>
          <w:lang w:val="ro-RO"/>
        </w:rPr>
      </w:pPr>
      <w:r>
        <w:rPr>
          <w:rFonts w:ascii="Georgia" w:hAnsi="Georgia" w:cs="Arial"/>
          <w:sz w:val="20"/>
          <w:szCs w:val="20"/>
          <w:lang w:val="ro-RO"/>
        </w:rPr>
        <w:t>4 februarie 2013</w:t>
      </w:r>
    </w:p>
    <w:p w:rsidR="006B4227" w:rsidRPr="001B7CE6" w:rsidRDefault="006B4227" w:rsidP="006B4227">
      <w:pPr>
        <w:spacing w:line="240" w:lineRule="auto"/>
        <w:ind w:right="747"/>
        <w:rPr>
          <w:rFonts w:ascii="Georgia" w:hAnsi="Georgia" w:cs="Arial"/>
          <w:sz w:val="20"/>
          <w:szCs w:val="20"/>
          <w:lang w:val="ro-RO"/>
        </w:rPr>
      </w:pPr>
    </w:p>
    <w:p w:rsidR="006B4227" w:rsidRPr="001B7CE6" w:rsidRDefault="006B4227" w:rsidP="006B4227">
      <w:pPr>
        <w:spacing w:line="240" w:lineRule="auto"/>
        <w:ind w:right="747"/>
        <w:rPr>
          <w:rFonts w:ascii="Georgia" w:hAnsi="Georgia" w:cs="Arial"/>
          <w:sz w:val="20"/>
          <w:szCs w:val="20"/>
          <w:lang w:val="ro-RO"/>
        </w:rPr>
      </w:pPr>
      <w:r w:rsidRPr="001B7CE6">
        <w:rPr>
          <w:rFonts w:ascii="Georgia" w:hAnsi="Georgia" w:cs="Arial"/>
          <w:sz w:val="20"/>
          <w:szCs w:val="20"/>
          <w:lang w:val="ro-RO"/>
        </w:rPr>
        <w:t xml:space="preserve">Stimate domnule </w:t>
      </w:r>
      <w:r w:rsidR="0035316E">
        <w:rPr>
          <w:rFonts w:ascii="Georgia" w:hAnsi="Georgia" w:cs="Arial"/>
          <w:sz w:val="20"/>
          <w:szCs w:val="20"/>
          <w:lang w:val="ro-RO" w:eastAsia="ro-RO"/>
        </w:rPr>
        <w:t>Ministru</w:t>
      </w:r>
      <w:r w:rsidR="0035316E">
        <w:rPr>
          <w:rFonts w:ascii="Georgia" w:hAnsi="Georgia" w:cs="Arial"/>
          <w:sz w:val="20"/>
          <w:szCs w:val="20"/>
          <w:lang w:val="ro-RO"/>
        </w:rPr>
        <w:t>,</w:t>
      </w:r>
    </w:p>
    <w:p w:rsidR="00D57D12" w:rsidRPr="001B7CE6" w:rsidRDefault="0035316E" w:rsidP="006B4227">
      <w:pPr>
        <w:spacing w:line="240" w:lineRule="auto"/>
        <w:rPr>
          <w:rFonts w:ascii="Georgia" w:hAnsi="Georgia" w:cs="Arial"/>
          <w:sz w:val="20"/>
          <w:szCs w:val="20"/>
          <w:lang w:val="ro-RO"/>
        </w:rPr>
      </w:pPr>
      <w:r>
        <w:rPr>
          <w:rFonts w:ascii="Georgia" w:hAnsi="Georgia" w:cs="Arial"/>
          <w:sz w:val="20"/>
          <w:szCs w:val="20"/>
          <w:lang w:val="ro-RO"/>
        </w:rPr>
        <w:t xml:space="preserve">Prin prezenta, Asociaţia Businessului European </w:t>
      </w:r>
      <w:r>
        <w:rPr>
          <w:rFonts w:ascii="Georgia" w:hAnsi="Georgia" w:cstheme="minorHAnsi"/>
          <w:sz w:val="20"/>
          <w:szCs w:val="20"/>
          <w:lang w:val="ro-RO"/>
        </w:rPr>
        <w:t xml:space="preserve">prezintă spre atenţia Dvs. următorul demers care subliniază importanţa revizuirii unor </w:t>
      </w:r>
      <w:r>
        <w:rPr>
          <w:rFonts w:ascii="Georgia" w:hAnsi="Georgia" w:cs="Arial"/>
          <w:sz w:val="20"/>
          <w:szCs w:val="20"/>
          <w:lang w:val="ro-RO"/>
        </w:rPr>
        <w:t xml:space="preserve">aspecte vamale şi fiscale care provoacă impedimente în desfăşurarea activităţii de întreprinzător şi care necesită o atenţie sporită şi abordare fermă  din partea autorităţilor. </w:t>
      </w:r>
    </w:p>
    <w:p w:rsidR="006B4227" w:rsidRPr="001B7CE6" w:rsidRDefault="0035316E" w:rsidP="006B4227">
      <w:pPr>
        <w:spacing w:line="240" w:lineRule="auto"/>
        <w:rPr>
          <w:rFonts w:ascii="Georgia" w:hAnsi="Georgia" w:cs="Arial"/>
          <w:sz w:val="20"/>
          <w:szCs w:val="20"/>
          <w:lang w:val="ro-RO"/>
        </w:rPr>
      </w:pPr>
      <w:r>
        <w:rPr>
          <w:rFonts w:ascii="Georgia" w:hAnsi="Georgia" w:cs="Arial"/>
          <w:sz w:val="20"/>
          <w:szCs w:val="20"/>
          <w:lang w:val="ro-RO"/>
        </w:rPr>
        <w:t>Menţionăm faptul că propunerile incluse în acest demers sunt remise în contextul elaborării  Cadrului Bugetar pe Termen Mediu 2014-2016, conform formatului solicitat de Ministerul Finanţelor (Anexa 1).</w:t>
      </w:r>
    </w:p>
    <w:p w:rsidR="006B4227" w:rsidRPr="001B7CE6" w:rsidRDefault="0035316E" w:rsidP="006B4227">
      <w:pPr>
        <w:spacing w:after="0" w:line="240" w:lineRule="auto"/>
        <w:jc w:val="both"/>
        <w:rPr>
          <w:rFonts w:ascii="Georgia" w:hAnsi="Georgia" w:cs="Arial"/>
          <w:sz w:val="20"/>
          <w:szCs w:val="20"/>
          <w:lang w:val="ro-RO"/>
        </w:rPr>
      </w:pPr>
      <w:r>
        <w:rPr>
          <w:rFonts w:ascii="Georgia" w:hAnsi="Georgia" w:cs="Arial"/>
          <w:sz w:val="20"/>
          <w:szCs w:val="20"/>
          <w:lang w:val="ro-RO"/>
        </w:rPr>
        <w:t xml:space="preserve">Ne exprimăm disponibilitatea noastră de a colabora în continuare cu reprezentanţii autorităţilor competente, pentru promovarea modificărilor legislative şi elaborarea nemijlocită a mecanismelor corespunzătoare. </w:t>
      </w:r>
    </w:p>
    <w:p w:rsidR="006B4227" w:rsidRPr="001B7CE6" w:rsidRDefault="006B4227" w:rsidP="006B4227">
      <w:pPr>
        <w:spacing w:after="0" w:line="240" w:lineRule="auto"/>
        <w:jc w:val="both"/>
        <w:rPr>
          <w:rFonts w:ascii="Georgia" w:hAnsi="Georgia" w:cs="Arial"/>
          <w:sz w:val="20"/>
          <w:szCs w:val="20"/>
          <w:lang w:val="ro-RO"/>
        </w:rPr>
      </w:pPr>
    </w:p>
    <w:p w:rsidR="006B4227" w:rsidRPr="001B7CE6" w:rsidRDefault="0035316E" w:rsidP="006B4227">
      <w:pPr>
        <w:spacing w:line="240" w:lineRule="auto"/>
        <w:rPr>
          <w:rFonts w:ascii="Georgia" w:hAnsi="Georgia" w:cs="Arial"/>
          <w:sz w:val="20"/>
          <w:szCs w:val="20"/>
          <w:lang w:val="ro-RO"/>
        </w:rPr>
      </w:pPr>
      <w:r>
        <w:rPr>
          <w:rFonts w:ascii="Georgia" w:hAnsi="Georgia" w:cs="Arial"/>
          <w:sz w:val="20"/>
          <w:szCs w:val="20"/>
          <w:lang w:val="ro-RO"/>
        </w:rPr>
        <w:t>Vă rugăm respectuos să ne confirmaţi disponibilitatea Dvs. pentru organizarea unei întrevederi dedicate aspectelor specificate în prezentul demers.</w:t>
      </w:r>
    </w:p>
    <w:p w:rsidR="006B4227" w:rsidRPr="001B7CE6" w:rsidRDefault="0035316E" w:rsidP="006B4227">
      <w:pPr>
        <w:spacing w:line="240" w:lineRule="auto"/>
        <w:rPr>
          <w:rFonts w:ascii="Georgia" w:hAnsi="Georgia" w:cs="Arial"/>
          <w:sz w:val="20"/>
          <w:szCs w:val="20"/>
          <w:lang w:val="ro-RO"/>
        </w:rPr>
      </w:pPr>
      <w:r>
        <w:rPr>
          <w:rFonts w:ascii="Georgia" w:hAnsi="Georgia" w:cs="Arial"/>
          <w:sz w:val="20"/>
          <w:szCs w:val="20"/>
          <w:lang w:val="ro-RO"/>
        </w:rPr>
        <w:t>Cu un deosebit respect şi în speranţa unei colaborări fructuoase şi în viitor, primiţi asigurările înaltei noastre consideraţiuni.</w:t>
      </w:r>
    </w:p>
    <w:p w:rsidR="006B4227" w:rsidRPr="001B7CE6" w:rsidRDefault="006B4227" w:rsidP="006B4227">
      <w:pPr>
        <w:spacing w:after="0" w:line="240" w:lineRule="auto"/>
        <w:jc w:val="both"/>
        <w:rPr>
          <w:rFonts w:ascii="Georgia" w:hAnsi="Georgia" w:cs="Arial"/>
          <w:sz w:val="20"/>
          <w:szCs w:val="20"/>
          <w:lang w:val="ro-RO"/>
        </w:rPr>
      </w:pPr>
    </w:p>
    <w:p w:rsidR="006B4227" w:rsidRPr="001B7CE6" w:rsidRDefault="006B4227" w:rsidP="006B4227">
      <w:pPr>
        <w:spacing w:line="240" w:lineRule="auto"/>
        <w:rPr>
          <w:rFonts w:ascii="Georgia" w:hAnsi="Georgia" w:cs="Arial"/>
          <w:sz w:val="20"/>
          <w:szCs w:val="20"/>
          <w:lang w:val="ro-RO"/>
        </w:rPr>
      </w:pPr>
    </w:p>
    <w:p w:rsidR="006B4227" w:rsidRPr="001B7CE6" w:rsidRDefault="0035316E" w:rsidP="006B4227">
      <w:pPr>
        <w:spacing w:line="240" w:lineRule="auto"/>
        <w:rPr>
          <w:rFonts w:ascii="Georgia" w:hAnsi="Georgia" w:cs="Arial"/>
          <w:sz w:val="20"/>
          <w:szCs w:val="20"/>
          <w:lang w:val="ro-RO"/>
        </w:rPr>
      </w:pPr>
      <w:r>
        <w:rPr>
          <w:rFonts w:ascii="Georgia" w:hAnsi="Georgia" w:cs="Arial"/>
          <w:sz w:val="20"/>
          <w:szCs w:val="20"/>
          <w:lang w:val="ro-RO"/>
        </w:rPr>
        <w:t>Cu respect,</w:t>
      </w:r>
    </w:p>
    <w:p w:rsidR="00555729" w:rsidRPr="00A74686" w:rsidRDefault="00A74686">
      <w:pPr>
        <w:rPr>
          <w:rFonts w:asciiTheme="majorHAnsi" w:hAnsiTheme="majorHAnsi" w:cs="Arial"/>
          <w:lang w:val="ro-RO"/>
        </w:rPr>
      </w:pPr>
      <w:r w:rsidRPr="00A74686">
        <w:rPr>
          <w:rFonts w:asciiTheme="majorHAnsi" w:hAnsiTheme="majorHAnsi" w:cs="Arial"/>
          <w:lang w:val="ro-RO"/>
        </w:rPr>
        <w:t>Silvia Radu</w:t>
      </w:r>
    </w:p>
    <w:p w:rsidR="00A74686" w:rsidRPr="00A74686" w:rsidRDefault="00A74686" w:rsidP="00A74686">
      <w:pPr>
        <w:spacing w:after="0"/>
        <w:rPr>
          <w:rFonts w:asciiTheme="majorHAnsi" w:hAnsiTheme="majorHAnsi" w:cs="Arial"/>
          <w:lang w:val="ro-RO"/>
        </w:rPr>
      </w:pPr>
      <w:r w:rsidRPr="00A74686">
        <w:rPr>
          <w:rFonts w:asciiTheme="majorHAnsi" w:hAnsiTheme="majorHAnsi" w:cs="Arial"/>
          <w:lang w:val="ro-RO"/>
        </w:rPr>
        <w:t>Presedinte</w:t>
      </w:r>
    </w:p>
    <w:p w:rsidR="00A74686" w:rsidRPr="00A74686" w:rsidRDefault="00A74686" w:rsidP="00A74686">
      <w:pPr>
        <w:spacing w:after="0"/>
        <w:rPr>
          <w:rFonts w:asciiTheme="majorHAnsi" w:hAnsiTheme="majorHAnsi" w:cs="Arial"/>
          <w:lang w:val="ro-RO"/>
        </w:rPr>
      </w:pPr>
      <w:r w:rsidRPr="00A74686">
        <w:rPr>
          <w:rFonts w:asciiTheme="majorHAnsi" w:hAnsiTheme="majorHAnsi" w:cs="Arial"/>
          <w:lang w:val="ro-RO"/>
        </w:rPr>
        <w:t>Asociatia Businesului European</w:t>
      </w:r>
    </w:p>
    <w:p w:rsidR="00E43002" w:rsidRDefault="00E43002" w:rsidP="00A74686">
      <w:pPr>
        <w:spacing w:after="0"/>
        <w:rPr>
          <w:rFonts w:asciiTheme="majorHAnsi" w:hAnsiTheme="majorHAnsi" w:cs="Arial"/>
          <w:highlight w:val="cyan"/>
          <w:lang w:val="ro-RO"/>
        </w:rPr>
      </w:pPr>
    </w:p>
    <w:p w:rsidR="007C528A" w:rsidRDefault="007C528A" w:rsidP="00A74686">
      <w:pPr>
        <w:spacing w:after="0"/>
        <w:rPr>
          <w:rFonts w:asciiTheme="majorHAnsi" w:hAnsiTheme="majorHAnsi" w:cs="Arial"/>
          <w:highlight w:val="cyan"/>
          <w:lang w:val="ro-RO"/>
        </w:rPr>
      </w:pPr>
    </w:p>
    <w:p w:rsidR="007C528A" w:rsidRDefault="007C528A" w:rsidP="00A74686">
      <w:pPr>
        <w:spacing w:after="0"/>
        <w:rPr>
          <w:rFonts w:asciiTheme="majorHAnsi" w:hAnsiTheme="majorHAnsi" w:cs="Arial"/>
          <w:highlight w:val="cyan"/>
          <w:lang w:val="ro-RO"/>
        </w:rPr>
      </w:pPr>
    </w:p>
    <w:p w:rsidR="007C528A" w:rsidRDefault="007C528A" w:rsidP="00A74686">
      <w:pPr>
        <w:spacing w:after="0"/>
        <w:rPr>
          <w:rFonts w:asciiTheme="majorHAnsi" w:hAnsiTheme="majorHAnsi" w:cs="Arial"/>
          <w:highlight w:val="cyan"/>
          <w:lang w:val="ro-RO"/>
        </w:rPr>
      </w:pPr>
    </w:p>
    <w:p w:rsidR="007C528A" w:rsidRPr="007C528A" w:rsidRDefault="007C528A" w:rsidP="007C528A">
      <w:pPr>
        <w:spacing w:after="0"/>
        <w:jc w:val="right"/>
        <w:rPr>
          <w:rFonts w:asciiTheme="majorHAnsi" w:hAnsiTheme="majorHAnsi" w:cs="Arial"/>
          <w:sz w:val="16"/>
          <w:szCs w:val="16"/>
          <w:lang w:val="ro-RO"/>
        </w:rPr>
      </w:pPr>
      <w:r w:rsidRPr="007C528A">
        <w:rPr>
          <w:rFonts w:asciiTheme="majorHAnsi" w:hAnsiTheme="majorHAnsi" w:cs="Arial"/>
          <w:sz w:val="16"/>
          <w:szCs w:val="16"/>
          <w:lang w:val="ro-RO"/>
        </w:rPr>
        <w:t>Persoana de contact</w:t>
      </w:r>
    </w:p>
    <w:p w:rsidR="007C528A" w:rsidRPr="007C528A" w:rsidRDefault="007C528A" w:rsidP="007C528A">
      <w:pPr>
        <w:spacing w:after="0"/>
        <w:jc w:val="right"/>
        <w:rPr>
          <w:rFonts w:asciiTheme="majorHAnsi" w:hAnsiTheme="majorHAnsi" w:cs="Arial"/>
          <w:sz w:val="16"/>
          <w:szCs w:val="16"/>
          <w:lang w:val="ro-RO"/>
        </w:rPr>
      </w:pPr>
    </w:p>
    <w:p w:rsidR="007C528A" w:rsidRPr="007C528A" w:rsidRDefault="007C528A" w:rsidP="007C528A">
      <w:pPr>
        <w:spacing w:after="0"/>
        <w:jc w:val="right"/>
        <w:rPr>
          <w:rFonts w:asciiTheme="majorHAnsi" w:hAnsiTheme="majorHAnsi" w:cs="Arial"/>
          <w:sz w:val="16"/>
          <w:szCs w:val="16"/>
          <w:lang w:val="ro-RO"/>
        </w:rPr>
      </w:pPr>
      <w:r w:rsidRPr="007C528A">
        <w:rPr>
          <w:rFonts w:asciiTheme="majorHAnsi" w:hAnsiTheme="majorHAnsi" w:cs="Arial"/>
          <w:sz w:val="16"/>
          <w:szCs w:val="16"/>
          <w:lang w:val="ro-RO"/>
        </w:rPr>
        <w:t>Mariana Rufa</w:t>
      </w:r>
    </w:p>
    <w:p w:rsidR="007C528A" w:rsidRPr="007C528A" w:rsidRDefault="007C528A" w:rsidP="007C528A">
      <w:pPr>
        <w:spacing w:after="0"/>
        <w:jc w:val="right"/>
        <w:rPr>
          <w:rFonts w:asciiTheme="majorHAnsi" w:hAnsiTheme="majorHAnsi" w:cs="Arial"/>
          <w:sz w:val="16"/>
          <w:szCs w:val="16"/>
          <w:lang w:val="ro-RO"/>
        </w:rPr>
        <w:sectPr w:rsidR="007C528A" w:rsidRPr="007C528A" w:rsidSect="00E43002">
          <w:pgSz w:w="12240" w:h="15840"/>
          <w:pgMar w:top="1134" w:right="851" w:bottom="1134" w:left="1701" w:header="709" w:footer="709" w:gutter="0"/>
          <w:cols w:space="708"/>
          <w:docGrid w:linePitch="360"/>
        </w:sectPr>
      </w:pPr>
      <w:r w:rsidRPr="007C528A">
        <w:rPr>
          <w:rFonts w:asciiTheme="majorHAnsi" w:hAnsiTheme="majorHAnsi" w:cs="Arial"/>
          <w:sz w:val="16"/>
          <w:szCs w:val="16"/>
          <w:lang w:val="ro-RO"/>
        </w:rPr>
        <w:t>+37378259999</w:t>
      </w:r>
    </w:p>
    <w:p w:rsidR="005735D7" w:rsidRPr="001B7CE6" w:rsidRDefault="007A38C1" w:rsidP="008B227E">
      <w:pPr>
        <w:jc w:val="right"/>
        <w:rPr>
          <w:rFonts w:ascii="Georgia" w:hAnsi="Georgia"/>
          <w:i/>
          <w:sz w:val="20"/>
          <w:szCs w:val="20"/>
          <w:lang w:val="ro-RO"/>
        </w:rPr>
      </w:pPr>
      <w:r w:rsidRPr="007A38C1">
        <w:rPr>
          <w:rFonts w:ascii="Georgia" w:hAnsi="Georgia"/>
          <w:i/>
          <w:sz w:val="20"/>
          <w:szCs w:val="20"/>
          <w:lang w:val="ro-RO"/>
        </w:rPr>
        <w:lastRenderedPageBreak/>
        <w:t xml:space="preserve">    Anexa 1</w:t>
      </w:r>
    </w:p>
    <w:tbl>
      <w:tblPr>
        <w:tblStyle w:val="TableGrid"/>
        <w:tblW w:w="1414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4A0"/>
      </w:tblPr>
      <w:tblGrid>
        <w:gridCol w:w="1951"/>
        <w:gridCol w:w="2835"/>
        <w:gridCol w:w="7655"/>
        <w:gridCol w:w="1700"/>
      </w:tblGrid>
      <w:tr w:rsidR="00AA5D36" w:rsidRPr="007C528A" w:rsidTr="002F4D2C">
        <w:trPr>
          <w:trHeight w:val="1326"/>
        </w:trPr>
        <w:tc>
          <w:tcPr>
            <w:tcW w:w="1951" w:type="dxa"/>
          </w:tcPr>
          <w:p w:rsidR="00C67811" w:rsidRPr="001B7CE6" w:rsidRDefault="00C67811" w:rsidP="008B227E">
            <w:pPr>
              <w:spacing w:after="200" w:line="276" w:lineRule="auto"/>
              <w:jc w:val="center"/>
              <w:rPr>
                <w:rFonts w:ascii="Georgia" w:hAnsi="Georgia"/>
                <w:sz w:val="20"/>
                <w:szCs w:val="20"/>
                <w:lang w:val="ro-RO"/>
              </w:rPr>
            </w:pPr>
            <w:r w:rsidRPr="001B7CE6">
              <w:rPr>
                <w:rFonts w:ascii="Georgia" w:hAnsi="Georgia" w:cs="Tms Rmn"/>
                <w:b/>
                <w:color w:val="000000"/>
                <w:sz w:val="20"/>
                <w:szCs w:val="20"/>
                <w:lang w:val="ro-RO"/>
              </w:rPr>
              <w:t>Denumirea legii, numărul şi conţinutul articolelor, care se propun spre modificare sau completare</w:t>
            </w:r>
          </w:p>
        </w:tc>
        <w:tc>
          <w:tcPr>
            <w:tcW w:w="2835" w:type="dxa"/>
          </w:tcPr>
          <w:p w:rsidR="00555729" w:rsidRPr="001B7CE6" w:rsidRDefault="00C67811" w:rsidP="008B227E">
            <w:pPr>
              <w:spacing w:after="200" w:line="276" w:lineRule="auto"/>
              <w:jc w:val="center"/>
              <w:rPr>
                <w:rFonts w:ascii="Georgia" w:hAnsi="Georgia"/>
                <w:sz w:val="20"/>
                <w:szCs w:val="20"/>
                <w:lang w:val="ro-RO"/>
              </w:rPr>
            </w:pPr>
            <w:r w:rsidRPr="001B7CE6">
              <w:rPr>
                <w:rFonts w:ascii="Georgia" w:hAnsi="Georgia" w:cs="Tms Rmn"/>
                <w:b/>
                <w:color w:val="000000"/>
                <w:sz w:val="20"/>
                <w:szCs w:val="20"/>
                <w:lang w:val="ro-RO"/>
              </w:rPr>
              <w:t>Propunerile de modificare şi completare</w:t>
            </w:r>
          </w:p>
          <w:p w:rsidR="00555729" w:rsidRPr="001B7CE6" w:rsidRDefault="00555729" w:rsidP="008B227E">
            <w:pPr>
              <w:spacing w:after="200" w:line="276" w:lineRule="auto"/>
              <w:jc w:val="center"/>
              <w:rPr>
                <w:rFonts w:ascii="Georgia" w:hAnsi="Georgia"/>
                <w:sz w:val="20"/>
                <w:szCs w:val="20"/>
                <w:lang w:val="ro-RO"/>
              </w:rPr>
            </w:pPr>
          </w:p>
          <w:p w:rsidR="00555729" w:rsidRPr="001B7CE6" w:rsidRDefault="00555729" w:rsidP="008B227E">
            <w:pPr>
              <w:spacing w:after="200" w:line="276" w:lineRule="auto"/>
              <w:jc w:val="center"/>
              <w:rPr>
                <w:rFonts w:ascii="Georgia" w:hAnsi="Georgia"/>
                <w:sz w:val="20"/>
                <w:szCs w:val="20"/>
                <w:lang w:val="ro-RO"/>
              </w:rPr>
            </w:pPr>
          </w:p>
          <w:p w:rsidR="00C67811" w:rsidRPr="001B7CE6" w:rsidRDefault="00C67811" w:rsidP="008B227E">
            <w:pPr>
              <w:spacing w:after="200" w:line="276" w:lineRule="auto"/>
              <w:jc w:val="center"/>
              <w:rPr>
                <w:rFonts w:ascii="Georgia" w:hAnsi="Georgia"/>
                <w:sz w:val="20"/>
                <w:szCs w:val="20"/>
                <w:lang w:val="ro-RO"/>
              </w:rPr>
            </w:pPr>
          </w:p>
        </w:tc>
        <w:tc>
          <w:tcPr>
            <w:tcW w:w="7655" w:type="dxa"/>
          </w:tcPr>
          <w:p w:rsidR="00C67811" w:rsidRPr="001B7CE6" w:rsidRDefault="00C67811" w:rsidP="008B227E">
            <w:pPr>
              <w:spacing w:after="200" w:line="276" w:lineRule="auto"/>
              <w:jc w:val="center"/>
              <w:rPr>
                <w:rFonts w:ascii="Georgia" w:hAnsi="Georgia"/>
                <w:sz w:val="20"/>
                <w:szCs w:val="20"/>
                <w:lang w:val="ro-RO"/>
              </w:rPr>
            </w:pPr>
            <w:r w:rsidRPr="001B7CE6">
              <w:rPr>
                <w:rFonts w:ascii="Georgia" w:hAnsi="Georgia" w:cs="Tms Rmn"/>
                <w:b/>
                <w:color w:val="000000"/>
                <w:sz w:val="20"/>
                <w:szCs w:val="20"/>
                <w:lang w:val="ro-RO"/>
              </w:rPr>
              <w:t>Expunere explicită a motivelor şi argumentarea propunerilor de modificare şi completare</w:t>
            </w:r>
          </w:p>
        </w:tc>
        <w:tc>
          <w:tcPr>
            <w:tcW w:w="1700" w:type="dxa"/>
          </w:tcPr>
          <w:p w:rsidR="00C67811" w:rsidRPr="001B7CE6" w:rsidRDefault="00C67811" w:rsidP="008B227E">
            <w:pPr>
              <w:spacing w:after="200" w:line="276" w:lineRule="auto"/>
              <w:jc w:val="center"/>
              <w:rPr>
                <w:rFonts w:ascii="Georgia" w:hAnsi="Georgia"/>
                <w:sz w:val="20"/>
                <w:szCs w:val="20"/>
                <w:lang w:val="ro-RO"/>
              </w:rPr>
            </w:pPr>
            <w:r w:rsidRPr="001B7CE6">
              <w:rPr>
                <w:rFonts w:ascii="Georgia" w:hAnsi="Georgia" w:cs="Tms Rmn"/>
                <w:b/>
                <w:color w:val="000000"/>
                <w:sz w:val="20"/>
                <w:szCs w:val="20"/>
                <w:lang w:val="ro-RO"/>
              </w:rPr>
              <w:t>Intrarea în vigoare a propunerilor de modificare şi completare</w:t>
            </w:r>
          </w:p>
        </w:tc>
      </w:tr>
      <w:tr w:rsidR="00AA5D36" w:rsidRPr="007C528A" w:rsidTr="00AA5D36">
        <w:tc>
          <w:tcPr>
            <w:tcW w:w="1951" w:type="dxa"/>
          </w:tcPr>
          <w:p w:rsidR="00C67811" w:rsidRPr="001B7CE6" w:rsidRDefault="00C67811" w:rsidP="00C67811">
            <w:pPr>
              <w:pStyle w:val="FootnoteText"/>
              <w:rPr>
                <w:lang w:val="ro-RO"/>
              </w:rPr>
            </w:pPr>
            <w:r w:rsidRPr="001B7CE6">
              <w:rPr>
                <w:rFonts w:cs="Tms Rmn"/>
                <w:color w:val="000000"/>
                <w:lang w:val="ro-RO"/>
              </w:rPr>
              <w:t xml:space="preserve">Lit. a)  art.9 al </w:t>
            </w:r>
            <w:r w:rsidRPr="001B7CE6">
              <w:rPr>
                <w:rFonts w:cs="Arial"/>
                <w:lang w:val="ro-RO"/>
              </w:rPr>
              <w:t xml:space="preserve">Ordinului Serviciului Vamal nr. 346-O din 24.12.2009 </w:t>
            </w:r>
            <w:r w:rsidRPr="001B7CE6">
              <w:rPr>
                <w:rStyle w:val="docheader1"/>
                <w:rFonts w:ascii="Georgia" w:hAnsi="Georgia"/>
                <w:b w:val="0"/>
                <w:sz w:val="20"/>
                <w:szCs w:val="20"/>
                <w:lang w:val="ro-RO"/>
              </w:rPr>
              <w:t>referitor la aprobarea Normelor tehnice privind imprimarea,</w:t>
            </w:r>
            <w:r w:rsidR="0035316E">
              <w:rPr>
                <w:b/>
                <w:bCs/>
                <w:color w:val="000000"/>
                <w:lang w:val="ro-RO"/>
              </w:rPr>
              <w:br/>
            </w:r>
            <w:r w:rsidR="0035316E">
              <w:rPr>
                <w:rStyle w:val="docheader1"/>
                <w:rFonts w:ascii="Georgia" w:hAnsi="Georgia"/>
                <w:b w:val="0"/>
                <w:sz w:val="20"/>
                <w:szCs w:val="20"/>
                <w:lang w:val="ro-RO"/>
              </w:rPr>
              <w:t>utilizarea şi completarea declaraţiei vamale în detaliu.</w:t>
            </w:r>
          </w:p>
          <w:p w:rsidR="00C67811" w:rsidRPr="001B7CE6" w:rsidRDefault="00C67811">
            <w:pPr>
              <w:spacing w:after="200" w:line="276" w:lineRule="auto"/>
              <w:rPr>
                <w:rFonts w:ascii="Georgia" w:hAnsi="Georgia"/>
                <w:sz w:val="20"/>
                <w:szCs w:val="20"/>
                <w:lang w:val="ro-RO"/>
              </w:rPr>
            </w:pPr>
          </w:p>
        </w:tc>
        <w:tc>
          <w:tcPr>
            <w:tcW w:w="2835" w:type="dxa"/>
          </w:tcPr>
          <w:p w:rsidR="00C67811" w:rsidRPr="001B7CE6" w:rsidRDefault="007A38C1" w:rsidP="00C67811">
            <w:pPr>
              <w:spacing w:after="200" w:line="276" w:lineRule="auto"/>
              <w:rPr>
                <w:rFonts w:ascii="Georgia" w:hAnsi="Georgia"/>
                <w:sz w:val="20"/>
                <w:szCs w:val="20"/>
                <w:lang w:val="ro-RO"/>
              </w:rPr>
            </w:pPr>
            <w:r w:rsidRPr="007A38C1">
              <w:rPr>
                <w:rFonts w:ascii="Georgia" w:hAnsi="Georgia" w:cs="Arial"/>
                <w:sz w:val="20"/>
                <w:szCs w:val="20"/>
                <w:lang w:val="ro-RO"/>
              </w:rPr>
              <w:t>Extinderea scutirii de obligaţia de a depune declaraţia vamală pentru mărfurile cu o valoare în vamă ce nu depăşeşte</w:t>
            </w:r>
            <w:r w:rsidRPr="007A38C1">
              <w:rPr>
                <w:rFonts w:ascii="Georgia" w:hAnsi="Georgia"/>
                <w:sz w:val="20"/>
                <w:szCs w:val="20"/>
                <w:lang w:val="ro-RO"/>
              </w:rPr>
              <w:t xml:space="preserve"> 100 euro </w:t>
            </w:r>
            <w:r w:rsidRPr="007A38C1">
              <w:rPr>
                <w:rFonts w:ascii="Georgia" w:hAnsi="Georgia" w:cs="Arial"/>
                <w:sz w:val="20"/>
                <w:szCs w:val="20"/>
                <w:lang w:val="ro-RO"/>
              </w:rPr>
              <w:t xml:space="preserve">importate sau exportate de agenţii economici, </w:t>
            </w:r>
            <w:r w:rsidRPr="007A38C1">
              <w:rPr>
                <w:rFonts w:ascii="Georgia" w:hAnsi="Georgia" w:cs="Arial"/>
                <w:sz w:val="20"/>
                <w:szCs w:val="20"/>
                <w:u w:val="single"/>
                <w:lang w:val="ro-RO"/>
              </w:rPr>
              <w:t>indiferent de caracterul comercial sau necomercial al acestora.</w:t>
            </w:r>
          </w:p>
          <w:p w:rsidR="00C67811" w:rsidRPr="001B7CE6" w:rsidRDefault="00C67811">
            <w:pPr>
              <w:spacing w:after="200" w:line="276" w:lineRule="auto"/>
              <w:rPr>
                <w:rFonts w:ascii="Georgia" w:hAnsi="Georgia"/>
                <w:sz w:val="20"/>
                <w:szCs w:val="20"/>
                <w:lang w:val="ro-RO"/>
              </w:rPr>
            </w:pPr>
          </w:p>
        </w:tc>
        <w:tc>
          <w:tcPr>
            <w:tcW w:w="7655" w:type="dxa"/>
          </w:tcPr>
          <w:p w:rsidR="00C67811" w:rsidRPr="001B7CE6" w:rsidRDefault="007A38C1" w:rsidP="00C67811">
            <w:pPr>
              <w:ind w:right="747"/>
              <w:rPr>
                <w:rFonts w:ascii="Georgia" w:hAnsi="Georgia" w:cs="Arial"/>
                <w:sz w:val="20"/>
                <w:szCs w:val="20"/>
                <w:lang w:val="ro-RO"/>
              </w:rPr>
            </w:pPr>
            <w:r w:rsidRPr="007A38C1">
              <w:rPr>
                <w:rFonts w:ascii="Georgia" w:hAnsi="Georgia" w:cs="Arial"/>
                <w:sz w:val="20"/>
                <w:szCs w:val="20"/>
                <w:lang w:val="ro-RO"/>
              </w:rPr>
              <w:t xml:space="preserve">Legislaţia vamală prevede  că nu se depune declaraţie vamală pentru mărfurile importate sau exportate de către persoanele juridice </w:t>
            </w:r>
            <w:r w:rsidRPr="007A38C1">
              <w:rPr>
                <w:rFonts w:ascii="Georgia" w:hAnsi="Georgia" w:cs="Arial"/>
                <w:sz w:val="20"/>
                <w:szCs w:val="20"/>
                <w:u w:val="single"/>
                <w:lang w:val="ro-RO"/>
              </w:rPr>
              <w:t>în scopuri necomerciale</w:t>
            </w:r>
            <w:r w:rsidRPr="007A38C1">
              <w:rPr>
                <w:rFonts w:ascii="Georgia" w:hAnsi="Georgia" w:cs="Arial"/>
                <w:sz w:val="20"/>
                <w:szCs w:val="20"/>
                <w:lang w:val="ro-RO"/>
              </w:rPr>
              <w:t>, a căror valoare în vamă nu depăşeşte suma de 100 de euro.</w:t>
            </w:r>
            <w:r w:rsidR="00C67811" w:rsidRPr="001B7CE6">
              <w:rPr>
                <w:rStyle w:val="FootnoteReference"/>
                <w:rFonts w:ascii="Georgia" w:hAnsi="Georgia" w:cs="Arial"/>
                <w:sz w:val="20"/>
                <w:szCs w:val="20"/>
                <w:lang w:val="ro-RO"/>
              </w:rPr>
              <w:footnoteReference w:id="1"/>
            </w:r>
          </w:p>
          <w:p w:rsidR="008B227E" w:rsidRPr="001B7CE6" w:rsidRDefault="008B227E" w:rsidP="00C67811">
            <w:pPr>
              <w:ind w:right="747"/>
              <w:rPr>
                <w:rFonts w:ascii="Georgia" w:hAnsi="Georgia" w:cs="Arial"/>
                <w:sz w:val="20"/>
                <w:szCs w:val="20"/>
                <w:lang w:val="ro-RO"/>
              </w:rPr>
            </w:pPr>
          </w:p>
          <w:p w:rsidR="00C67811" w:rsidRPr="001B7CE6" w:rsidRDefault="00C67811" w:rsidP="00C67811">
            <w:pPr>
              <w:spacing w:after="200" w:line="276" w:lineRule="auto"/>
              <w:ind w:right="747"/>
              <w:rPr>
                <w:rFonts w:ascii="Georgia" w:hAnsi="Georgia" w:cs="Arial"/>
                <w:sz w:val="20"/>
                <w:szCs w:val="20"/>
                <w:lang w:val="ro-RO"/>
              </w:rPr>
            </w:pPr>
            <w:r w:rsidRPr="001B7CE6">
              <w:rPr>
                <w:rFonts w:ascii="Georgia" w:hAnsi="Georgia" w:cs="Arial"/>
                <w:sz w:val="20"/>
                <w:szCs w:val="20"/>
                <w:lang w:val="ro-RO"/>
              </w:rPr>
              <w:t xml:space="preserve">Având în vedere atât </w:t>
            </w:r>
            <w:r w:rsidRPr="001B7CE6">
              <w:rPr>
                <w:rFonts w:ascii="Georgia" w:hAnsi="Georgia" w:cs="Arial"/>
                <w:i/>
                <w:sz w:val="20"/>
                <w:szCs w:val="20"/>
                <w:lang w:val="ro-RO"/>
              </w:rPr>
              <w:t>(i)</w:t>
            </w:r>
            <w:r w:rsidRPr="001B7CE6">
              <w:rPr>
                <w:rFonts w:ascii="Georgia" w:hAnsi="Georgia" w:cs="Arial"/>
                <w:sz w:val="20"/>
                <w:szCs w:val="20"/>
                <w:lang w:val="ro-RO"/>
              </w:rPr>
              <w:t xml:space="preserve"> lipsa unor norme clare în legislaţia vamală cu </w:t>
            </w:r>
            <w:r w:rsidR="00C853F7" w:rsidRPr="001B7CE6">
              <w:rPr>
                <w:rFonts w:ascii="Georgia" w:hAnsi="Georgia" w:cs="Arial"/>
                <w:sz w:val="20"/>
                <w:szCs w:val="20"/>
                <w:lang w:val="ro-RO"/>
              </w:rPr>
              <w:t>p</w:t>
            </w:r>
            <w:r w:rsidR="007A38C1" w:rsidRPr="007A38C1">
              <w:rPr>
                <w:rFonts w:ascii="Georgia" w:hAnsi="Georgia" w:cs="Arial"/>
                <w:sz w:val="20"/>
                <w:szCs w:val="20"/>
                <w:lang w:val="ro-RO"/>
              </w:rPr>
              <w:t xml:space="preserve">rivire la definirea caracterului „necomercial” al mărfurilor importate de către Companii, cât şi </w:t>
            </w:r>
            <w:r w:rsidR="007A38C1" w:rsidRPr="007A38C1">
              <w:rPr>
                <w:rFonts w:ascii="Georgia" w:hAnsi="Georgia" w:cs="Arial"/>
                <w:i/>
                <w:sz w:val="20"/>
                <w:szCs w:val="20"/>
                <w:lang w:val="ro-RO"/>
              </w:rPr>
              <w:t>(ii)</w:t>
            </w:r>
            <w:r w:rsidR="007A38C1" w:rsidRPr="007A38C1">
              <w:rPr>
                <w:rFonts w:ascii="Georgia" w:hAnsi="Georgia" w:cs="Arial"/>
                <w:sz w:val="20"/>
                <w:szCs w:val="20"/>
                <w:lang w:val="ro-RO"/>
              </w:rPr>
              <w:t xml:space="preserve"> lipsa unor interpretări oficiale în acest sens, în practică se produc abordări neunivoce fapt care determină suportarea costurilor adiţionale de către Companii aferente întocmirii declaraţiilor vamale şi achitării drepturilor de import.</w:t>
            </w:r>
          </w:p>
          <w:p w:rsidR="00C67811" w:rsidRPr="001B7CE6" w:rsidRDefault="007A38C1" w:rsidP="00C67811">
            <w:pPr>
              <w:ind w:right="747"/>
              <w:rPr>
                <w:rFonts w:ascii="Georgia" w:hAnsi="Georgia" w:cs="Arial"/>
                <w:sz w:val="20"/>
                <w:szCs w:val="20"/>
                <w:lang w:val="ro-RO"/>
              </w:rPr>
            </w:pPr>
            <w:r w:rsidRPr="007A38C1">
              <w:rPr>
                <w:rFonts w:ascii="Georgia" w:hAnsi="Georgia" w:cs="Arial"/>
                <w:sz w:val="20"/>
                <w:szCs w:val="20"/>
                <w:lang w:val="ro-RO"/>
              </w:rPr>
              <w:t xml:space="preserve">Ca şi exemplu din practica internaţională, în statele membre ale Uniunii Vamale dintre Federaţia Rusă, Kazahstan şi Belarus mărfurile importate/exportate de către agenţi economici, a căror valoare în vamă nu depăşeşte 200 euro sunt declarate fără depunerea unei declaraţii vamale, doar în baza documentelor comerciale şi însoţitoare ale acestora,  </w:t>
            </w:r>
            <w:r w:rsidRPr="007A38C1">
              <w:rPr>
                <w:rFonts w:ascii="Georgia" w:hAnsi="Georgia" w:cs="Arial"/>
                <w:sz w:val="20"/>
                <w:szCs w:val="20"/>
                <w:u w:val="single"/>
                <w:lang w:val="ro-RO"/>
              </w:rPr>
              <w:t>fără a se lua în consideraţie scopul livrării mărfurilor</w:t>
            </w:r>
            <w:r w:rsidRPr="007A38C1">
              <w:rPr>
                <w:rFonts w:ascii="Georgia" w:hAnsi="Georgia" w:cs="Arial"/>
                <w:sz w:val="20"/>
                <w:szCs w:val="20"/>
                <w:lang w:val="ro-RO"/>
              </w:rPr>
              <w:t>.</w:t>
            </w:r>
            <w:r w:rsidR="00C67811" w:rsidRPr="001B7CE6">
              <w:rPr>
                <w:rStyle w:val="FootnoteReference"/>
                <w:rFonts w:ascii="Georgia" w:hAnsi="Georgia" w:cs="Arial"/>
                <w:sz w:val="20"/>
                <w:szCs w:val="20"/>
                <w:lang w:val="ro-RO"/>
              </w:rPr>
              <w:footnoteReference w:id="2"/>
            </w:r>
          </w:p>
          <w:p w:rsidR="008B227E" w:rsidRPr="001B7CE6" w:rsidRDefault="008B227E" w:rsidP="00C67811">
            <w:pPr>
              <w:ind w:right="747"/>
              <w:rPr>
                <w:rFonts w:ascii="Georgia" w:hAnsi="Georgia" w:cs="Arial"/>
                <w:sz w:val="20"/>
                <w:szCs w:val="20"/>
                <w:lang w:val="ro-RO"/>
              </w:rPr>
            </w:pPr>
          </w:p>
          <w:p w:rsidR="00111A27" w:rsidRDefault="00C67811">
            <w:pPr>
              <w:spacing w:after="200" w:line="276" w:lineRule="auto"/>
              <w:rPr>
                <w:rFonts w:ascii="Georgia" w:hAnsi="Georgia"/>
                <w:sz w:val="20"/>
                <w:szCs w:val="20"/>
                <w:lang w:val="ro-RO"/>
              </w:rPr>
            </w:pPr>
            <w:r w:rsidRPr="001B7CE6">
              <w:rPr>
                <w:rFonts w:ascii="Georgia" w:hAnsi="Georgia" w:cs="Arial"/>
                <w:sz w:val="20"/>
                <w:szCs w:val="20"/>
                <w:lang w:val="ro-RO"/>
              </w:rPr>
              <w:t xml:space="preserve">Pentru evitarea anumitor practici neuniforme, recomandăm extinderea scutirii de obligaţia de a depune declaraţie vamală pentru mărfurile cu o valoare în vamă ce nu depăşeşte 100 euro, importate sau exportate de agenţii economici, </w:t>
            </w:r>
            <w:r w:rsidRPr="001B7CE6">
              <w:rPr>
                <w:rFonts w:ascii="Georgia" w:hAnsi="Georgia" w:cs="Arial"/>
                <w:sz w:val="20"/>
                <w:szCs w:val="20"/>
                <w:u w:val="single"/>
                <w:lang w:val="ro-RO"/>
              </w:rPr>
              <w:t>indiferent de caracterul c</w:t>
            </w:r>
            <w:r w:rsidR="007A38C1" w:rsidRPr="007A38C1">
              <w:rPr>
                <w:rFonts w:ascii="Georgia" w:hAnsi="Georgia" w:cs="Arial"/>
                <w:sz w:val="20"/>
                <w:szCs w:val="20"/>
                <w:u w:val="single"/>
                <w:lang w:val="ro-RO"/>
              </w:rPr>
              <w:t>omercial sau necomercial al acestora.</w:t>
            </w:r>
          </w:p>
        </w:tc>
        <w:tc>
          <w:tcPr>
            <w:tcW w:w="1700" w:type="dxa"/>
          </w:tcPr>
          <w:p w:rsidR="00C67811" w:rsidRPr="001B7CE6" w:rsidRDefault="00C67811">
            <w:pPr>
              <w:spacing w:after="200" w:line="276" w:lineRule="auto"/>
              <w:rPr>
                <w:rFonts w:ascii="Georgia" w:hAnsi="Georgia"/>
                <w:sz w:val="20"/>
                <w:szCs w:val="20"/>
                <w:lang w:val="ro-RO"/>
              </w:rPr>
            </w:pPr>
          </w:p>
        </w:tc>
      </w:tr>
    </w:tbl>
    <w:p w:rsidR="00BC13E8" w:rsidRPr="00A74686" w:rsidRDefault="00BC13E8">
      <w:pPr>
        <w:rPr>
          <w:lang w:val="es-ES_tradnl"/>
        </w:rPr>
      </w:pPr>
      <w:r w:rsidRPr="00A74686">
        <w:rPr>
          <w:lang w:val="es-ES_tradnl"/>
        </w:rPr>
        <w:br w:type="page"/>
      </w:r>
    </w:p>
    <w:tbl>
      <w:tblPr>
        <w:tblStyle w:val="TableGrid"/>
        <w:tblW w:w="1414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4A0"/>
      </w:tblPr>
      <w:tblGrid>
        <w:gridCol w:w="1951"/>
        <w:gridCol w:w="2835"/>
        <w:gridCol w:w="7655"/>
        <w:gridCol w:w="1700"/>
      </w:tblGrid>
      <w:tr w:rsidR="00AA5D36" w:rsidRPr="007C528A" w:rsidTr="00AA5D36">
        <w:trPr>
          <w:trHeight w:val="402"/>
        </w:trPr>
        <w:tc>
          <w:tcPr>
            <w:tcW w:w="1951" w:type="dxa"/>
          </w:tcPr>
          <w:p w:rsidR="00C67811" w:rsidRPr="001B7CE6" w:rsidRDefault="00C67811">
            <w:pPr>
              <w:spacing w:after="200" w:line="276" w:lineRule="auto"/>
              <w:rPr>
                <w:rFonts w:ascii="Georgia" w:hAnsi="Georgia"/>
                <w:sz w:val="20"/>
                <w:szCs w:val="20"/>
                <w:lang w:val="ro-RO"/>
              </w:rPr>
            </w:pPr>
          </w:p>
        </w:tc>
        <w:tc>
          <w:tcPr>
            <w:tcW w:w="2835" w:type="dxa"/>
          </w:tcPr>
          <w:p w:rsidR="00C67811" w:rsidRPr="001B7CE6" w:rsidRDefault="00C67811">
            <w:pPr>
              <w:spacing w:after="200" w:line="276" w:lineRule="auto"/>
              <w:rPr>
                <w:rFonts w:ascii="Georgia" w:hAnsi="Georgia"/>
                <w:sz w:val="20"/>
                <w:szCs w:val="20"/>
                <w:lang w:val="ro-RO"/>
              </w:rPr>
            </w:pPr>
            <w:r w:rsidRPr="001B7CE6">
              <w:rPr>
                <w:rFonts w:ascii="Georgia" w:hAnsi="Georgia" w:cs="Arial"/>
                <w:sz w:val="20"/>
                <w:szCs w:val="20"/>
                <w:lang w:val="ro-RO"/>
              </w:rPr>
              <w:t>Revizuirea practicilor de aplicare unilater</w:t>
            </w:r>
            <w:r w:rsidR="00FD5CBD" w:rsidRPr="001B7CE6">
              <w:rPr>
                <w:rFonts w:ascii="Georgia" w:hAnsi="Georgia" w:cs="Arial"/>
                <w:sz w:val="20"/>
                <w:szCs w:val="20"/>
                <w:lang w:val="ro-RO"/>
              </w:rPr>
              <w:t>al</w:t>
            </w:r>
            <w:r w:rsidRPr="001B7CE6">
              <w:rPr>
                <w:rFonts w:ascii="Georgia" w:hAnsi="Georgia" w:cs="Arial"/>
                <w:sz w:val="20"/>
                <w:szCs w:val="20"/>
                <w:lang w:val="ro-RO"/>
              </w:rPr>
              <w:t>ă a preţurilor de referinţă de către autorităţile vamale.</w:t>
            </w:r>
          </w:p>
        </w:tc>
        <w:tc>
          <w:tcPr>
            <w:tcW w:w="7655" w:type="dxa"/>
          </w:tcPr>
          <w:p w:rsidR="00A4665F" w:rsidRPr="001B7CE6" w:rsidRDefault="00C67811" w:rsidP="00C67811">
            <w:pPr>
              <w:autoSpaceDE w:val="0"/>
              <w:autoSpaceDN w:val="0"/>
              <w:adjustRightInd w:val="0"/>
              <w:ind w:right="225"/>
              <w:rPr>
                <w:rFonts w:ascii="Georgia" w:hAnsi="Georgia" w:cs="Arial"/>
                <w:sz w:val="20"/>
                <w:szCs w:val="20"/>
                <w:lang w:val="ro-RO"/>
              </w:rPr>
            </w:pPr>
            <w:r w:rsidRPr="001B7CE6">
              <w:rPr>
                <w:rFonts w:ascii="Georgia" w:hAnsi="Georgia" w:cs="Arial"/>
                <w:sz w:val="20"/>
                <w:szCs w:val="20"/>
                <w:lang w:val="ro-RO"/>
              </w:rPr>
              <w:t xml:space="preserve">Procesul de evaluare vamală nu este unul transparent, fapt datorat utilizării de către Serviciul Vamal în cadrul acestui proces a ordinelor sale interne, nepublicate în Monitorul Oficial, care stabilesc preţuri minime de referinţă pentru anumite categorii de produse. </w:t>
            </w:r>
          </w:p>
          <w:p w:rsidR="009A1EF1" w:rsidRPr="001B7CE6" w:rsidRDefault="009A1EF1" w:rsidP="00C67811">
            <w:pPr>
              <w:autoSpaceDE w:val="0"/>
              <w:autoSpaceDN w:val="0"/>
              <w:adjustRightInd w:val="0"/>
              <w:ind w:right="225"/>
              <w:rPr>
                <w:rFonts w:ascii="Georgia" w:hAnsi="Georgia" w:cs="Arial"/>
                <w:sz w:val="20"/>
                <w:szCs w:val="20"/>
                <w:lang w:val="ro-RO"/>
              </w:rPr>
            </w:pPr>
          </w:p>
          <w:p w:rsidR="005F30D3" w:rsidRPr="001B7CE6" w:rsidRDefault="007A38C1" w:rsidP="00C67811">
            <w:pPr>
              <w:autoSpaceDE w:val="0"/>
              <w:autoSpaceDN w:val="0"/>
              <w:adjustRightInd w:val="0"/>
              <w:ind w:right="225"/>
              <w:rPr>
                <w:rFonts w:ascii="Georgia" w:hAnsi="Georgia" w:cs="Arial"/>
                <w:sz w:val="20"/>
                <w:szCs w:val="20"/>
                <w:lang w:val="ro-RO"/>
              </w:rPr>
            </w:pPr>
            <w:r w:rsidRPr="007A38C1">
              <w:rPr>
                <w:rFonts w:ascii="Georgia" w:hAnsi="Georgia" w:cs="Arial"/>
                <w:sz w:val="20"/>
                <w:szCs w:val="20"/>
                <w:lang w:val="ro-RO"/>
              </w:rPr>
              <w:t>Potrivit normelor internaţionale aplicabile</w:t>
            </w:r>
            <w:r w:rsidR="00C67811" w:rsidRPr="001B7CE6">
              <w:rPr>
                <w:rStyle w:val="FootnoteReference"/>
                <w:rFonts w:ascii="Georgia" w:hAnsi="Georgia" w:cs="Arial"/>
                <w:sz w:val="20"/>
                <w:szCs w:val="20"/>
                <w:lang w:val="ro-RO"/>
              </w:rPr>
              <w:footnoteReference w:id="3"/>
            </w:r>
            <w:r w:rsidR="00C67811" w:rsidRPr="001B7CE6">
              <w:rPr>
                <w:rFonts w:ascii="Georgia" w:hAnsi="Georgia" w:cs="Arial"/>
                <w:sz w:val="20"/>
                <w:szCs w:val="20"/>
                <w:lang w:val="ro-RO"/>
              </w:rPr>
              <w:t xml:space="preserve"> la determinarea valorii în vamă a mărfii prin metoda de rezervă </w:t>
            </w:r>
            <w:r w:rsidR="00C67811" w:rsidRPr="001B7CE6">
              <w:rPr>
                <w:rFonts w:ascii="Georgia" w:hAnsi="Georgia" w:cs="Arial"/>
                <w:sz w:val="20"/>
                <w:szCs w:val="20"/>
                <w:u w:val="single"/>
                <w:lang w:val="ro-RO"/>
              </w:rPr>
              <w:t>drept bază nu pot fi luate preţurile de vânzare ale mărfii pe piaţa internă a statului de import</w:t>
            </w:r>
            <w:r w:rsidR="00C67811" w:rsidRPr="001B7CE6">
              <w:rPr>
                <w:rFonts w:ascii="Georgia" w:hAnsi="Georgia" w:cs="Arial"/>
                <w:sz w:val="20"/>
                <w:szCs w:val="20"/>
                <w:lang w:val="ro-RO"/>
              </w:rPr>
              <w:t xml:space="preserve">. </w:t>
            </w:r>
          </w:p>
          <w:p w:rsidR="005F30D3" w:rsidRPr="001B7CE6" w:rsidRDefault="005F30D3" w:rsidP="00C67811">
            <w:pPr>
              <w:autoSpaceDE w:val="0"/>
              <w:autoSpaceDN w:val="0"/>
              <w:adjustRightInd w:val="0"/>
              <w:ind w:right="225"/>
              <w:rPr>
                <w:rFonts w:ascii="Georgia" w:hAnsi="Georgia" w:cs="Arial"/>
                <w:sz w:val="20"/>
                <w:szCs w:val="20"/>
                <w:lang w:val="ro-RO"/>
              </w:rPr>
            </w:pPr>
          </w:p>
          <w:p w:rsidR="00C67811" w:rsidRPr="001B7CE6" w:rsidRDefault="007A38C1" w:rsidP="002F4D2C">
            <w:pPr>
              <w:autoSpaceDE w:val="0"/>
              <w:autoSpaceDN w:val="0"/>
              <w:adjustRightInd w:val="0"/>
              <w:spacing w:after="200" w:line="276" w:lineRule="auto"/>
              <w:ind w:right="225"/>
              <w:rPr>
                <w:rFonts w:ascii="Georgia" w:hAnsi="Georgia"/>
                <w:sz w:val="20"/>
                <w:szCs w:val="20"/>
                <w:lang w:val="ro-RO"/>
              </w:rPr>
            </w:pPr>
            <w:r w:rsidRPr="007A38C1">
              <w:rPr>
                <w:rFonts w:ascii="Georgia" w:hAnsi="Georgia" w:cs="Arial"/>
                <w:sz w:val="20"/>
                <w:szCs w:val="20"/>
                <w:lang w:val="ro-RO"/>
              </w:rPr>
              <w:t>În acest context, în scopul asigurării transparenţei în procesul de determinare a valorii în vamă, precum şi respectării prevederilor acordurilor internaţionale la care Republica Moldova este parte, recomandăm respectuos revizuirea practicilor de aplicare unilaterală a preţurilor de referinţă de către autorităţile vamale.</w:t>
            </w:r>
          </w:p>
        </w:tc>
        <w:tc>
          <w:tcPr>
            <w:tcW w:w="1700" w:type="dxa"/>
          </w:tcPr>
          <w:p w:rsidR="00C67811" w:rsidRPr="001B7CE6" w:rsidRDefault="00C67811">
            <w:pPr>
              <w:spacing w:after="200" w:line="276" w:lineRule="auto"/>
              <w:rPr>
                <w:rFonts w:ascii="Georgia" w:hAnsi="Georgia"/>
                <w:sz w:val="20"/>
                <w:szCs w:val="20"/>
                <w:lang w:val="ro-RO"/>
              </w:rPr>
            </w:pPr>
          </w:p>
        </w:tc>
      </w:tr>
      <w:tr w:rsidR="00AA5D36" w:rsidRPr="007C528A" w:rsidTr="00AA5D36">
        <w:tc>
          <w:tcPr>
            <w:tcW w:w="1951" w:type="dxa"/>
          </w:tcPr>
          <w:p w:rsidR="00C67811" w:rsidRPr="001B7CE6" w:rsidRDefault="00D15817">
            <w:pPr>
              <w:rPr>
                <w:rFonts w:ascii="Georgia" w:hAnsi="Georgia"/>
                <w:sz w:val="20"/>
                <w:szCs w:val="20"/>
                <w:lang w:val="ro-RO"/>
              </w:rPr>
            </w:pPr>
            <w:r w:rsidRPr="001B7CE6">
              <w:rPr>
                <w:rFonts w:ascii="Georgia" w:hAnsi="Georgia"/>
                <w:sz w:val="20"/>
                <w:szCs w:val="20"/>
                <w:lang w:val="ro-RO"/>
              </w:rPr>
              <w:t>Legea cu privire la tariful vamal nr. 1380 din 20 noiembrie 1997</w:t>
            </w:r>
          </w:p>
        </w:tc>
        <w:tc>
          <w:tcPr>
            <w:tcW w:w="2835" w:type="dxa"/>
          </w:tcPr>
          <w:p w:rsidR="00C67811" w:rsidRPr="001B7CE6" w:rsidRDefault="00C67811">
            <w:pPr>
              <w:spacing w:after="200" w:line="276" w:lineRule="auto"/>
              <w:rPr>
                <w:rFonts w:ascii="Georgia" w:hAnsi="Georgia"/>
                <w:sz w:val="20"/>
                <w:szCs w:val="20"/>
                <w:lang w:val="ro-RO"/>
              </w:rPr>
            </w:pPr>
            <w:r w:rsidRPr="001B7CE6">
              <w:rPr>
                <w:rFonts w:ascii="Georgia" w:hAnsi="Georgia" w:cs="Arial"/>
                <w:sz w:val="20"/>
                <w:szCs w:val="20"/>
                <w:lang w:val="ro-RO"/>
              </w:rPr>
              <w:t>Racordarea normelor şi practicii vamale cu cele fiscale în scopul evitării  taxării duble cu TVA a lucrărilor şi serviciilor aferente importului de mărfuri.</w:t>
            </w:r>
          </w:p>
        </w:tc>
        <w:tc>
          <w:tcPr>
            <w:tcW w:w="7655" w:type="dxa"/>
          </w:tcPr>
          <w:p w:rsidR="00FF450D" w:rsidRPr="001B7CE6" w:rsidRDefault="00C67811" w:rsidP="00C67811">
            <w:pPr>
              <w:autoSpaceDE w:val="0"/>
              <w:autoSpaceDN w:val="0"/>
              <w:adjustRightInd w:val="0"/>
              <w:ind w:right="225"/>
              <w:rPr>
                <w:rFonts w:ascii="Georgia" w:hAnsi="Georgia" w:cs="Arial"/>
                <w:sz w:val="20"/>
                <w:szCs w:val="20"/>
                <w:lang w:val="ro-RO"/>
              </w:rPr>
            </w:pPr>
            <w:r w:rsidRPr="001B7CE6">
              <w:rPr>
                <w:rFonts w:ascii="Georgia" w:hAnsi="Georgia" w:cs="Arial"/>
                <w:sz w:val="20"/>
                <w:szCs w:val="20"/>
                <w:lang w:val="ro-RO"/>
              </w:rPr>
              <w:t>La moment anumite cheltuieli cu lucrări sau servicii aferente importului de mărfuri (ex. de instalare sau montaj a mărfurilor) sunt incluse în valoarea în vamă a acestor mărfuri, chiar dacă legislaţia vamală prevede că valoarea în vamă nu va include astfel de cheltuieli care sunt determinate ca plăţi distincte de preţul mărfii importate</w:t>
            </w:r>
            <w:r w:rsidRPr="001B7CE6">
              <w:rPr>
                <w:rStyle w:val="FootnoteReference"/>
                <w:rFonts w:ascii="Georgia" w:hAnsi="Georgia" w:cs="Arial"/>
                <w:sz w:val="20"/>
                <w:szCs w:val="20"/>
                <w:lang w:val="ro-RO"/>
              </w:rPr>
              <w:footnoteReference w:id="4"/>
            </w:r>
            <w:r w:rsidRPr="001B7CE6">
              <w:rPr>
                <w:rFonts w:ascii="Georgia" w:hAnsi="Georgia" w:cs="Arial"/>
                <w:sz w:val="20"/>
                <w:szCs w:val="20"/>
                <w:lang w:val="ro-RO"/>
              </w:rPr>
              <w:t xml:space="preserve">.  </w:t>
            </w:r>
          </w:p>
          <w:p w:rsidR="00FF450D" w:rsidRPr="001B7CE6" w:rsidRDefault="00FF450D" w:rsidP="00C67811">
            <w:pPr>
              <w:autoSpaceDE w:val="0"/>
              <w:autoSpaceDN w:val="0"/>
              <w:adjustRightInd w:val="0"/>
              <w:ind w:right="225"/>
              <w:rPr>
                <w:rFonts w:ascii="Georgia" w:hAnsi="Georgia" w:cs="Arial"/>
                <w:sz w:val="20"/>
                <w:szCs w:val="20"/>
                <w:lang w:val="ro-RO"/>
              </w:rPr>
            </w:pPr>
          </w:p>
          <w:p w:rsidR="00C67811" w:rsidRPr="001B7CE6" w:rsidRDefault="00C67811" w:rsidP="00C67811">
            <w:pPr>
              <w:autoSpaceDE w:val="0"/>
              <w:autoSpaceDN w:val="0"/>
              <w:adjustRightInd w:val="0"/>
              <w:ind w:right="225"/>
              <w:rPr>
                <w:rFonts w:ascii="Georgia" w:hAnsi="Georgia" w:cs="Arial"/>
                <w:sz w:val="20"/>
                <w:szCs w:val="20"/>
                <w:lang w:val="ro-RO"/>
              </w:rPr>
            </w:pPr>
            <w:r w:rsidRPr="001B7CE6">
              <w:rPr>
                <w:rFonts w:ascii="Georgia" w:hAnsi="Georgia" w:cs="Arial"/>
                <w:sz w:val="20"/>
                <w:szCs w:val="20"/>
                <w:lang w:val="ro-RO"/>
              </w:rPr>
              <w:t>Pe de altă parte nu este clară corelarea prevederilor legislaţiei vamale cu cea fiscală. Astfel, în unele cazuri TVA va fi p</w:t>
            </w:r>
            <w:r w:rsidR="007A38C1" w:rsidRPr="007A38C1">
              <w:rPr>
                <w:rFonts w:ascii="Georgia" w:hAnsi="Georgia" w:cs="Arial"/>
                <w:sz w:val="20"/>
                <w:szCs w:val="20"/>
                <w:lang w:val="ro-RO"/>
              </w:rPr>
              <w:t>erceput în procesul de import a mărfurilor ca şi drepturi de import, iar legislaţia fiscală, pe de altă parte prevede achitarea de către companii a TVA aferentă importului de servicii la data efectuării plăţii externe</w:t>
            </w:r>
            <w:r w:rsidRPr="001B7CE6">
              <w:rPr>
                <w:rStyle w:val="FootnoteReference"/>
                <w:rFonts w:ascii="Georgia" w:hAnsi="Georgia" w:cs="Arial"/>
                <w:sz w:val="20"/>
                <w:szCs w:val="20"/>
                <w:lang w:val="ro-RO"/>
              </w:rPr>
              <w:footnoteReference w:id="5"/>
            </w:r>
            <w:r w:rsidRPr="001B7CE6">
              <w:rPr>
                <w:rFonts w:ascii="Georgia" w:hAnsi="Georgia" w:cs="Arial"/>
                <w:sz w:val="20"/>
                <w:szCs w:val="20"/>
                <w:lang w:val="ro-RO"/>
              </w:rPr>
              <w:t xml:space="preserve">. </w:t>
            </w:r>
          </w:p>
          <w:p w:rsidR="00FF450D" w:rsidRPr="001B7CE6" w:rsidRDefault="00FF450D" w:rsidP="00C67811">
            <w:pPr>
              <w:autoSpaceDE w:val="0"/>
              <w:autoSpaceDN w:val="0"/>
              <w:adjustRightInd w:val="0"/>
              <w:ind w:right="225"/>
              <w:rPr>
                <w:rFonts w:ascii="Georgia" w:hAnsi="Georgia" w:cs="Arial"/>
                <w:sz w:val="20"/>
                <w:szCs w:val="20"/>
                <w:lang w:val="ro-RO"/>
              </w:rPr>
            </w:pPr>
          </w:p>
          <w:p w:rsidR="00FF450D" w:rsidRPr="001B7CE6" w:rsidRDefault="00C67811" w:rsidP="00C67811">
            <w:pPr>
              <w:autoSpaceDE w:val="0"/>
              <w:autoSpaceDN w:val="0"/>
              <w:adjustRightInd w:val="0"/>
              <w:spacing w:after="200" w:line="276" w:lineRule="auto"/>
              <w:ind w:right="225"/>
              <w:rPr>
                <w:rFonts w:ascii="Georgia" w:hAnsi="Georgia" w:cs="Arial"/>
                <w:sz w:val="20"/>
                <w:szCs w:val="20"/>
                <w:lang w:val="ro-RO"/>
              </w:rPr>
            </w:pPr>
            <w:r w:rsidRPr="001B7CE6">
              <w:rPr>
                <w:rFonts w:ascii="Georgia" w:hAnsi="Georgia" w:cs="Arial"/>
                <w:sz w:val="20"/>
                <w:szCs w:val="20"/>
                <w:lang w:val="ro-RO"/>
              </w:rPr>
              <w:t>În aşa mod, companiile practic sun</w:t>
            </w:r>
            <w:r w:rsidR="007A38C1" w:rsidRPr="007A38C1">
              <w:rPr>
                <w:rFonts w:ascii="Georgia" w:hAnsi="Georgia" w:cs="Arial"/>
                <w:sz w:val="20"/>
                <w:szCs w:val="20"/>
                <w:lang w:val="ro-RO"/>
              </w:rPr>
              <w:t>t supuse taxării duble cu TVA pentru achiziţionarea acestor servicii, care deşi în general este deductibil pentru companii, acestea din urmă influenţează asupra planificării şi utilizării eficiente a lichidităţilor.</w:t>
            </w:r>
          </w:p>
          <w:p w:rsidR="00BF1A09" w:rsidRPr="001B7CE6" w:rsidRDefault="007A38C1" w:rsidP="00C67811">
            <w:pPr>
              <w:spacing w:after="200" w:line="276" w:lineRule="auto"/>
              <w:rPr>
                <w:rFonts w:ascii="Georgia" w:hAnsi="Georgia"/>
                <w:sz w:val="20"/>
                <w:szCs w:val="20"/>
                <w:lang w:val="ro-RO"/>
              </w:rPr>
            </w:pPr>
            <w:r w:rsidRPr="007A38C1">
              <w:rPr>
                <w:rFonts w:ascii="Georgia" w:hAnsi="Georgia" w:cs="Arial"/>
                <w:sz w:val="20"/>
                <w:szCs w:val="20"/>
                <w:lang w:val="ro-RO"/>
              </w:rPr>
              <w:t xml:space="preserve"> Respectiv, solicităm respectuos examinarea acestor aspecte şi racordarea normelor şi practicii vamale cu cele fiscale în acest sens.</w:t>
            </w:r>
          </w:p>
        </w:tc>
        <w:tc>
          <w:tcPr>
            <w:tcW w:w="1700" w:type="dxa"/>
          </w:tcPr>
          <w:p w:rsidR="00C67811" w:rsidRPr="001B7CE6" w:rsidRDefault="00C67811">
            <w:pPr>
              <w:spacing w:after="200" w:line="276" w:lineRule="auto"/>
              <w:rPr>
                <w:rFonts w:ascii="Georgia" w:hAnsi="Georgia"/>
                <w:sz w:val="20"/>
                <w:szCs w:val="20"/>
                <w:lang w:val="ro-RO"/>
              </w:rPr>
            </w:pPr>
          </w:p>
        </w:tc>
      </w:tr>
    </w:tbl>
    <w:p w:rsidR="00BC13E8" w:rsidRPr="00A74686" w:rsidRDefault="00BC13E8">
      <w:pPr>
        <w:rPr>
          <w:lang w:val="es-ES_tradnl"/>
        </w:rPr>
      </w:pPr>
      <w:r w:rsidRPr="00A74686">
        <w:rPr>
          <w:lang w:val="es-ES_tradnl"/>
        </w:rPr>
        <w:br w:type="page"/>
      </w:r>
    </w:p>
    <w:tbl>
      <w:tblPr>
        <w:tblStyle w:val="TableGrid"/>
        <w:tblW w:w="1414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4A0"/>
      </w:tblPr>
      <w:tblGrid>
        <w:gridCol w:w="1951"/>
        <w:gridCol w:w="2835"/>
        <w:gridCol w:w="7655"/>
        <w:gridCol w:w="1700"/>
      </w:tblGrid>
      <w:tr w:rsidR="00AA5D36" w:rsidRPr="007C528A" w:rsidTr="00AA5D36">
        <w:tc>
          <w:tcPr>
            <w:tcW w:w="1951" w:type="dxa"/>
          </w:tcPr>
          <w:p w:rsidR="00C67811" w:rsidRPr="001B7CE6" w:rsidRDefault="007A38C1">
            <w:pPr>
              <w:spacing w:after="200" w:line="276" w:lineRule="auto"/>
              <w:rPr>
                <w:rFonts w:ascii="Georgia" w:hAnsi="Georgia"/>
                <w:sz w:val="20"/>
                <w:szCs w:val="20"/>
                <w:lang w:val="ro-RO"/>
              </w:rPr>
            </w:pPr>
            <w:r w:rsidRPr="007A38C1">
              <w:rPr>
                <w:rFonts w:ascii="Georgia" w:hAnsi="Georgia"/>
                <w:sz w:val="20"/>
                <w:szCs w:val="20"/>
                <w:lang w:val="ro-RO"/>
              </w:rPr>
              <w:lastRenderedPageBreak/>
              <w:t>Art.231, art. 232 ale Codului vamal</w:t>
            </w:r>
          </w:p>
        </w:tc>
        <w:tc>
          <w:tcPr>
            <w:tcW w:w="2835" w:type="dxa"/>
          </w:tcPr>
          <w:p w:rsidR="00C67811" w:rsidRPr="001B7CE6" w:rsidRDefault="00C67811">
            <w:pPr>
              <w:spacing w:after="200" w:line="276" w:lineRule="auto"/>
              <w:rPr>
                <w:rFonts w:ascii="Georgia" w:hAnsi="Georgia"/>
                <w:sz w:val="20"/>
                <w:szCs w:val="20"/>
                <w:lang w:val="ro-RO"/>
              </w:rPr>
            </w:pPr>
            <w:r w:rsidRPr="001B7CE6">
              <w:rPr>
                <w:rFonts w:ascii="Georgia" w:hAnsi="Georgia"/>
                <w:sz w:val="20"/>
                <w:szCs w:val="20"/>
                <w:lang w:val="ro-RO"/>
              </w:rPr>
              <w:t>Amendarea legislaţiei vamale prin introducerea principiului conform căruia o sancţiune nu urmează a fi aplicată în întregime, iar dacă a fost aplicată urmează a fi anulată  în întregime, dacă nu apar obligaţii vamale suplimentare (similar prevederilor legislaţiei fiscale).</w:t>
            </w:r>
          </w:p>
        </w:tc>
        <w:tc>
          <w:tcPr>
            <w:tcW w:w="7655" w:type="dxa"/>
          </w:tcPr>
          <w:p w:rsidR="00C67811" w:rsidRPr="001B7CE6" w:rsidRDefault="007A38C1" w:rsidP="00C67811">
            <w:pPr>
              <w:autoSpaceDE w:val="0"/>
              <w:autoSpaceDN w:val="0"/>
              <w:adjustRightInd w:val="0"/>
              <w:rPr>
                <w:rFonts w:ascii="Georgia" w:hAnsi="Georgia" w:cs="Helv"/>
                <w:color w:val="000000"/>
                <w:sz w:val="20"/>
                <w:szCs w:val="20"/>
                <w:lang w:val="ro-RO"/>
              </w:rPr>
            </w:pPr>
            <w:r w:rsidRPr="007A38C1">
              <w:rPr>
                <w:rFonts w:ascii="Georgia" w:hAnsi="Georgia" w:cs="Helv"/>
                <w:color w:val="000000"/>
                <w:sz w:val="20"/>
                <w:szCs w:val="20"/>
                <w:lang w:val="ro-RO"/>
              </w:rPr>
              <w:t>I</w:t>
            </w:r>
            <w:r w:rsidR="00C67811" w:rsidRPr="001B7CE6">
              <w:rPr>
                <w:rFonts w:ascii="Georgia" w:hAnsi="Georgia" w:cs="Helv"/>
                <w:color w:val="000000"/>
                <w:sz w:val="20"/>
                <w:szCs w:val="20"/>
                <w:lang w:val="ro-RO"/>
              </w:rPr>
              <w:t xml:space="preserve">n practică sancţiunile vamale aplicate agenţilor economici ce practică activitate de import/export deseori nu sunt corelate cu prejudiciul cauzat bugetului.  Aceasta deoarece legislaţia vamală stabileşte sancţionarea sub formă de amenzi calculate </w:t>
            </w:r>
            <w:r w:rsidR="00C67811" w:rsidRPr="001B7CE6">
              <w:rPr>
                <w:rFonts w:ascii="Georgia" w:hAnsi="Georgia" w:cs="Helv"/>
                <w:color w:val="000000"/>
                <w:sz w:val="20"/>
                <w:szCs w:val="20"/>
                <w:u w:val="single"/>
                <w:lang w:val="ro-RO"/>
              </w:rPr>
              <w:t>în baza valorii mărfurilor obiect al contravenţiei</w:t>
            </w:r>
            <w:r w:rsidR="00C67811" w:rsidRPr="001B7CE6">
              <w:rPr>
                <w:rStyle w:val="FootnoteReference"/>
                <w:rFonts w:ascii="Georgia" w:hAnsi="Georgia" w:cs="Helv"/>
                <w:sz w:val="20"/>
                <w:szCs w:val="20"/>
                <w:u w:val="single"/>
                <w:lang w:val="ro-RO"/>
              </w:rPr>
              <w:footnoteReference w:id="6"/>
            </w:r>
            <w:r w:rsidR="00C67811" w:rsidRPr="001B7CE6">
              <w:rPr>
                <w:rFonts w:ascii="Georgia" w:hAnsi="Georgia" w:cs="Helv"/>
                <w:color w:val="000000"/>
                <w:sz w:val="20"/>
                <w:szCs w:val="20"/>
                <w:lang w:val="ro-RO"/>
              </w:rPr>
              <w:t>, fără a lua în consideraţie prejudiciul efectiv adus bugetului.</w:t>
            </w:r>
          </w:p>
          <w:p w:rsidR="00200223" w:rsidRPr="001B7CE6" w:rsidRDefault="00200223" w:rsidP="00C67811">
            <w:pPr>
              <w:autoSpaceDE w:val="0"/>
              <w:autoSpaceDN w:val="0"/>
              <w:adjustRightInd w:val="0"/>
              <w:rPr>
                <w:rFonts w:ascii="Georgia" w:hAnsi="Georgia" w:cs="Helv"/>
                <w:color w:val="000000"/>
                <w:sz w:val="20"/>
                <w:szCs w:val="20"/>
                <w:lang w:val="ro-RO"/>
              </w:rPr>
            </w:pPr>
          </w:p>
          <w:p w:rsidR="00111A27" w:rsidRDefault="00C67811">
            <w:pPr>
              <w:autoSpaceDE w:val="0"/>
              <w:autoSpaceDN w:val="0"/>
              <w:adjustRightInd w:val="0"/>
              <w:rPr>
                <w:rFonts w:ascii="Georgia" w:hAnsi="Georgia"/>
                <w:sz w:val="20"/>
                <w:szCs w:val="20"/>
                <w:lang w:val="ro-RO"/>
              </w:rPr>
            </w:pPr>
            <w:r w:rsidRPr="001B7CE6">
              <w:rPr>
                <w:rFonts w:ascii="Georgia" w:hAnsi="Georgia" w:cs="Helv"/>
                <w:color w:val="000000"/>
                <w:sz w:val="20"/>
                <w:szCs w:val="20"/>
                <w:lang w:val="ro-RO"/>
              </w:rPr>
              <w:t>Recomandăm amendarea legislaţiei  vamale în acest sens, prin introducerea principiului conform căruia o sancţiune nu urmează a fi aplicată în întregime, iar dacă a fost aplicată urmează a fi anulată  în întregime, dacă nu apar obligaţii vamale suplimentare (similar prevederilor legislaţiei fiscale).</w:t>
            </w:r>
          </w:p>
        </w:tc>
        <w:tc>
          <w:tcPr>
            <w:tcW w:w="1700" w:type="dxa"/>
          </w:tcPr>
          <w:p w:rsidR="00C67811" w:rsidRPr="001B7CE6" w:rsidRDefault="00C67811">
            <w:pPr>
              <w:spacing w:after="200" w:line="276" w:lineRule="auto"/>
              <w:rPr>
                <w:rFonts w:ascii="Georgia" w:hAnsi="Georgia"/>
                <w:sz w:val="20"/>
                <w:szCs w:val="20"/>
                <w:lang w:val="ro-RO"/>
              </w:rPr>
            </w:pPr>
          </w:p>
        </w:tc>
      </w:tr>
      <w:tr w:rsidR="00AA5D36" w:rsidRPr="001B7CE6" w:rsidTr="00AA5D36">
        <w:tc>
          <w:tcPr>
            <w:tcW w:w="1951" w:type="dxa"/>
          </w:tcPr>
          <w:p w:rsidR="00C67811" w:rsidRPr="001B7CE6" w:rsidRDefault="007A38C1">
            <w:pPr>
              <w:spacing w:after="200" w:line="276" w:lineRule="auto"/>
              <w:rPr>
                <w:rFonts w:ascii="Georgia" w:hAnsi="Georgia"/>
                <w:sz w:val="20"/>
                <w:szCs w:val="20"/>
                <w:lang w:val="ro-RO"/>
              </w:rPr>
            </w:pPr>
            <w:r w:rsidRPr="007A38C1">
              <w:rPr>
                <w:rFonts w:ascii="Georgia" w:hAnsi="Georgia" w:cs="Tms Rmn"/>
                <w:color w:val="000000"/>
                <w:sz w:val="20"/>
                <w:szCs w:val="20"/>
                <w:lang w:val="ro-RO"/>
              </w:rPr>
              <w:t xml:space="preserve">Art. 24 al Codului Fiscal </w:t>
            </w:r>
          </w:p>
        </w:tc>
        <w:tc>
          <w:tcPr>
            <w:tcW w:w="2835" w:type="dxa"/>
          </w:tcPr>
          <w:p w:rsidR="00C67811" w:rsidRPr="001B7CE6" w:rsidRDefault="00C67811">
            <w:pPr>
              <w:spacing w:after="200" w:line="276" w:lineRule="auto"/>
              <w:rPr>
                <w:rFonts w:ascii="Georgia" w:hAnsi="Georgia"/>
                <w:sz w:val="20"/>
                <w:szCs w:val="20"/>
                <w:lang w:val="ro-RO"/>
              </w:rPr>
            </w:pPr>
            <w:r w:rsidRPr="001B7CE6">
              <w:rPr>
                <w:rFonts w:ascii="Georgia" w:hAnsi="Georgia" w:cs="Arial"/>
                <w:sz w:val="20"/>
                <w:szCs w:val="20"/>
                <w:lang w:val="ro-RO"/>
              </w:rPr>
              <w:t>Revizuirea normelor fiscale în partea ce ţine de  interpretarea cheltuielilor „</w:t>
            </w:r>
            <w:r w:rsidRPr="001B7CE6">
              <w:rPr>
                <w:rFonts w:ascii="Georgia" w:hAnsi="Georgia" w:cs="Arial"/>
                <w:i/>
                <w:sz w:val="20"/>
                <w:szCs w:val="20"/>
                <w:lang w:val="ro-RO"/>
              </w:rPr>
              <w:t>necesare şi ordinare</w:t>
            </w:r>
            <w:r w:rsidRPr="001B7CE6">
              <w:rPr>
                <w:rFonts w:ascii="Georgia" w:hAnsi="Georgia" w:cs="Arial"/>
                <w:sz w:val="20"/>
                <w:szCs w:val="20"/>
                <w:lang w:val="ro-RO"/>
              </w:rPr>
              <w:t>”.</w:t>
            </w:r>
          </w:p>
        </w:tc>
        <w:tc>
          <w:tcPr>
            <w:tcW w:w="7655" w:type="dxa"/>
          </w:tcPr>
          <w:p w:rsidR="00C67811" w:rsidRPr="001B7CE6" w:rsidRDefault="00C67811" w:rsidP="00C67811">
            <w:pPr>
              <w:autoSpaceDE w:val="0"/>
              <w:autoSpaceDN w:val="0"/>
              <w:adjustRightInd w:val="0"/>
              <w:spacing w:after="200" w:line="276" w:lineRule="auto"/>
              <w:rPr>
                <w:rFonts w:ascii="Georgia" w:hAnsi="Georgia" w:cs="Arial"/>
                <w:sz w:val="20"/>
                <w:szCs w:val="20"/>
                <w:lang w:val="ro-RO"/>
              </w:rPr>
            </w:pPr>
            <w:r w:rsidRPr="001B7CE6">
              <w:rPr>
                <w:rFonts w:ascii="Georgia" w:hAnsi="Georgia" w:cs="Arial"/>
                <w:sz w:val="20"/>
                <w:szCs w:val="20"/>
                <w:lang w:val="ro-RO"/>
              </w:rPr>
              <w:t xml:space="preserve">Legislaţia fiscală în partea ce ţine de </w:t>
            </w:r>
            <w:r w:rsidR="006D252E" w:rsidRPr="001B7CE6">
              <w:rPr>
                <w:rFonts w:ascii="Georgia" w:hAnsi="Georgia" w:cs="Arial"/>
                <w:sz w:val="20"/>
                <w:szCs w:val="20"/>
                <w:lang w:val="ro-RO"/>
              </w:rPr>
              <w:t xml:space="preserve">deductibilitatea unor tipuri de cheltuieli </w:t>
            </w:r>
            <w:r w:rsidRPr="001B7CE6">
              <w:rPr>
                <w:rFonts w:ascii="Georgia" w:hAnsi="Georgia" w:cs="Arial"/>
                <w:sz w:val="20"/>
                <w:szCs w:val="20"/>
                <w:lang w:val="ro-RO"/>
              </w:rPr>
              <w:t>este  interpretabilă, fapt care în practică creează tratament neunivoc şi chiar abuzuri. Lipsa unor norme metodologice în acest sens (de exemplu, similar normelor existente în  Romania), creează abordări controverse în interpretarea calităţii de „</w:t>
            </w:r>
            <w:r w:rsidR="007A38C1" w:rsidRPr="007A38C1">
              <w:rPr>
                <w:rFonts w:ascii="Georgia" w:hAnsi="Georgia" w:cs="Arial"/>
                <w:i/>
                <w:sz w:val="20"/>
                <w:szCs w:val="20"/>
                <w:lang w:val="ro-RO"/>
              </w:rPr>
              <w:t>necesar şi ordinar</w:t>
            </w:r>
            <w:r w:rsidR="007A38C1" w:rsidRPr="007A38C1">
              <w:rPr>
                <w:rFonts w:ascii="Georgia" w:hAnsi="Georgia" w:cs="Arial"/>
                <w:sz w:val="20"/>
                <w:szCs w:val="20"/>
                <w:lang w:val="ro-RO"/>
              </w:rPr>
              <w:t xml:space="preserve">”. </w:t>
            </w:r>
          </w:p>
          <w:p w:rsidR="00BF1A09" w:rsidRPr="001B7CE6" w:rsidRDefault="007A38C1" w:rsidP="002F4D2C">
            <w:pPr>
              <w:autoSpaceDE w:val="0"/>
              <w:autoSpaceDN w:val="0"/>
              <w:adjustRightInd w:val="0"/>
              <w:spacing w:after="200" w:line="276" w:lineRule="auto"/>
              <w:rPr>
                <w:rFonts w:ascii="Georgia" w:hAnsi="Georgia"/>
                <w:sz w:val="20"/>
                <w:szCs w:val="20"/>
                <w:lang w:val="ro-RO"/>
              </w:rPr>
            </w:pPr>
            <w:r w:rsidRPr="007A38C1">
              <w:rPr>
                <w:rFonts w:ascii="Georgia" w:hAnsi="Georgia" w:cs="Arial"/>
                <w:sz w:val="20"/>
                <w:szCs w:val="20"/>
                <w:lang w:val="ro-RO"/>
              </w:rPr>
              <w:t>Recomandăm revizuirea normelor fiscale în domeniu şi preluarea celor mai bune practici internaţionale în acest sens.</w:t>
            </w:r>
          </w:p>
        </w:tc>
        <w:tc>
          <w:tcPr>
            <w:tcW w:w="1700" w:type="dxa"/>
          </w:tcPr>
          <w:p w:rsidR="00C67811" w:rsidRPr="001B7CE6" w:rsidRDefault="00C67811">
            <w:pPr>
              <w:spacing w:after="200" w:line="276" w:lineRule="auto"/>
              <w:rPr>
                <w:rFonts w:ascii="Georgia" w:hAnsi="Georgia"/>
                <w:sz w:val="20"/>
                <w:szCs w:val="20"/>
                <w:lang w:val="ro-RO"/>
              </w:rPr>
            </w:pPr>
          </w:p>
        </w:tc>
      </w:tr>
      <w:tr w:rsidR="00A61A5E" w:rsidRPr="007C528A" w:rsidTr="007A3D35">
        <w:tc>
          <w:tcPr>
            <w:tcW w:w="1951" w:type="dxa"/>
          </w:tcPr>
          <w:p w:rsidR="00111A27" w:rsidRDefault="00A61A5E">
            <w:pPr>
              <w:rPr>
                <w:rFonts w:ascii="Georgia" w:hAnsi="Georgia"/>
                <w:sz w:val="20"/>
                <w:szCs w:val="20"/>
                <w:lang w:val="ro-RO"/>
              </w:rPr>
            </w:pPr>
            <w:r>
              <w:rPr>
                <w:rFonts w:ascii="Georgia" w:hAnsi="Georgia"/>
                <w:sz w:val="20"/>
                <w:szCs w:val="20"/>
                <w:lang w:val="ro-RO"/>
              </w:rPr>
              <w:t>Art. 26 al Codului Fiscal</w:t>
            </w:r>
          </w:p>
        </w:tc>
        <w:tc>
          <w:tcPr>
            <w:tcW w:w="2835" w:type="dxa"/>
          </w:tcPr>
          <w:p w:rsidR="00111A27" w:rsidRDefault="00A61A5E">
            <w:pPr>
              <w:pStyle w:val="ListParagraph"/>
              <w:spacing w:after="0" w:line="240" w:lineRule="auto"/>
              <w:ind w:left="0"/>
              <w:rPr>
                <w:rFonts w:cs="Helv"/>
                <w:color w:val="000000"/>
                <w:lang w:val="ro-RO"/>
              </w:rPr>
            </w:pPr>
            <w:r>
              <w:rPr>
                <w:rFonts w:cs="Helv"/>
                <w:color w:val="000000"/>
                <w:lang w:val="ro-RO"/>
              </w:rPr>
              <w:t xml:space="preserve">Excluderea restricţiei valorice </w:t>
            </w:r>
            <w:r w:rsidRPr="008C663D">
              <w:rPr>
                <w:rFonts w:cs="Helv"/>
                <w:color w:val="000000"/>
                <w:lang w:val="ro-RO"/>
              </w:rPr>
              <w:t xml:space="preserve">de </w:t>
            </w:r>
            <w:r w:rsidR="00D2699C">
              <w:rPr>
                <w:rFonts w:cs="Helv"/>
                <w:color w:val="000000"/>
                <w:lang w:val="ro-RO"/>
              </w:rPr>
              <w:t>determinare a unui activ drept mijloc fix î</w:t>
            </w:r>
            <w:r w:rsidRPr="008C663D">
              <w:rPr>
                <w:rFonts w:cs="Helv"/>
                <w:color w:val="000000"/>
                <w:lang w:val="ro-RO"/>
              </w:rPr>
              <w:t>n scopuri fiscale</w:t>
            </w:r>
          </w:p>
        </w:tc>
        <w:tc>
          <w:tcPr>
            <w:tcW w:w="7655" w:type="dxa"/>
          </w:tcPr>
          <w:p w:rsidR="00A61A5E" w:rsidRDefault="006603B0" w:rsidP="007A3D35">
            <w:pPr>
              <w:rPr>
                <w:rFonts w:ascii="Georgia" w:hAnsi="Georgia" w:cs="Helv"/>
                <w:color w:val="000000"/>
                <w:sz w:val="20"/>
                <w:szCs w:val="20"/>
                <w:lang w:val="ro-RO"/>
              </w:rPr>
            </w:pPr>
            <w:r>
              <w:rPr>
                <w:rFonts w:ascii="Georgia" w:hAnsi="Georgia" w:cs="Helv"/>
                <w:color w:val="000000"/>
                <w:sz w:val="20"/>
                <w:szCs w:val="20"/>
                <w:lang w:val="ro-RO"/>
              </w:rPr>
              <w:t>Potrivit</w:t>
            </w:r>
            <w:r w:rsidR="00A61A5E">
              <w:rPr>
                <w:rFonts w:ascii="Georgia" w:hAnsi="Georgia" w:cs="Helv"/>
                <w:color w:val="000000"/>
                <w:sz w:val="20"/>
                <w:szCs w:val="20"/>
                <w:lang w:val="ro-RO"/>
              </w:rPr>
              <w:t xml:space="preserve"> </w:t>
            </w:r>
            <w:r>
              <w:rPr>
                <w:rFonts w:ascii="Georgia" w:hAnsi="Georgia" w:cs="Helv"/>
                <w:color w:val="000000"/>
                <w:sz w:val="20"/>
                <w:szCs w:val="20"/>
                <w:lang w:val="ro-RO"/>
              </w:rPr>
              <w:t xml:space="preserve">prevederilor </w:t>
            </w:r>
            <w:r w:rsidR="00A61A5E">
              <w:rPr>
                <w:rFonts w:ascii="Georgia" w:hAnsi="Georgia" w:cs="Helv"/>
                <w:color w:val="000000"/>
                <w:sz w:val="20"/>
                <w:szCs w:val="20"/>
                <w:lang w:val="ro-RO"/>
              </w:rPr>
              <w:t>Codului Fiscal</w:t>
            </w:r>
            <w:r>
              <w:rPr>
                <w:rFonts w:ascii="Georgia" w:hAnsi="Georgia" w:cs="Helv"/>
                <w:color w:val="000000"/>
                <w:sz w:val="20"/>
                <w:szCs w:val="20"/>
                <w:lang w:val="ro-RO"/>
              </w:rPr>
              <w:t>,</w:t>
            </w:r>
            <w:r w:rsidR="00A61A5E">
              <w:rPr>
                <w:rFonts w:ascii="Georgia" w:hAnsi="Georgia" w:cs="Helv"/>
                <w:color w:val="000000"/>
                <w:sz w:val="20"/>
                <w:szCs w:val="20"/>
                <w:lang w:val="ro-RO"/>
              </w:rPr>
              <w:t xml:space="preserve"> p</w:t>
            </w:r>
            <w:r w:rsidR="00A61A5E" w:rsidRPr="00AB3667">
              <w:rPr>
                <w:rFonts w:ascii="Georgia" w:hAnsi="Georgia" w:cs="Helv"/>
                <w:color w:val="000000"/>
                <w:sz w:val="20"/>
                <w:szCs w:val="20"/>
                <w:lang w:val="ro-RO"/>
              </w:rPr>
              <w:t xml:space="preserve">roprietatea pe care se calculează uzura este proprietatea materială reflectată în bilanţul contabil al contribuabilului în conformitate cu legislaţia şi folosită în activitatea de întreprinzător, a cărei valoare scade prezumtiv ca urmare a uzurii fizice şi morale şi a cărei perioadă de exploatare este mai mare de un an, iar valoarea ei depăşeşte suma de </w:t>
            </w:r>
            <w:r w:rsidR="007A38C1" w:rsidRPr="007A38C1">
              <w:rPr>
                <w:rFonts w:ascii="Georgia" w:hAnsi="Georgia" w:cs="Helv"/>
                <w:color w:val="000000"/>
                <w:sz w:val="20"/>
                <w:szCs w:val="20"/>
                <w:u w:val="single"/>
                <w:lang w:val="ro-RO"/>
              </w:rPr>
              <w:t>6,000 lei</w:t>
            </w:r>
            <w:r w:rsidR="00A61A5E" w:rsidRPr="00AB3667">
              <w:rPr>
                <w:rFonts w:ascii="Georgia" w:hAnsi="Georgia" w:cs="Helv"/>
                <w:color w:val="000000"/>
                <w:sz w:val="20"/>
                <w:szCs w:val="20"/>
                <w:lang w:val="ro-RO"/>
              </w:rPr>
              <w:t>.</w:t>
            </w:r>
          </w:p>
          <w:p w:rsidR="00A61A5E" w:rsidRDefault="00A61A5E" w:rsidP="007A3D35">
            <w:pPr>
              <w:rPr>
                <w:rFonts w:ascii="Georgia" w:hAnsi="Georgia" w:cs="Helv"/>
                <w:color w:val="000000"/>
                <w:sz w:val="20"/>
                <w:szCs w:val="20"/>
                <w:lang w:val="ro-RO"/>
              </w:rPr>
            </w:pPr>
          </w:p>
          <w:p w:rsidR="00111A27" w:rsidRDefault="00A61A5E">
            <w:pPr>
              <w:rPr>
                <w:rFonts w:ascii="Georgia" w:hAnsi="Georgia" w:cs="Helv"/>
                <w:color w:val="000000"/>
                <w:sz w:val="20"/>
                <w:szCs w:val="20"/>
                <w:lang w:val="ro-RO"/>
              </w:rPr>
            </w:pPr>
            <w:r w:rsidRPr="00966636">
              <w:rPr>
                <w:rFonts w:ascii="Georgia" w:hAnsi="Georgia" w:cs="Helv"/>
                <w:color w:val="000000"/>
                <w:sz w:val="20"/>
                <w:szCs w:val="20"/>
                <w:lang w:val="ro-RO"/>
              </w:rPr>
              <w:t xml:space="preserve">Potrivit </w:t>
            </w:r>
            <w:r w:rsidR="006603B0">
              <w:rPr>
                <w:rFonts w:ascii="Georgia" w:hAnsi="Georgia" w:cs="Helv"/>
                <w:color w:val="000000"/>
                <w:sz w:val="20"/>
                <w:szCs w:val="20"/>
                <w:lang w:val="ro-RO"/>
              </w:rPr>
              <w:t>standardelor internaţionale de raportare financiară (</w:t>
            </w:r>
            <w:r>
              <w:rPr>
                <w:rFonts w:ascii="Georgia" w:hAnsi="Georgia" w:cs="Helv"/>
                <w:color w:val="000000"/>
                <w:sz w:val="20"/>
                <w:szCs w:val="20"/>
                <w:lang w:val="ro-RO"/>
              </w:rPr>
              <w:t>IAS</w:t>
            </w:r>
            <w:r w:rsidR="006603B0">
              <w:rPr>
                <w:rFonts w:ascii="Georgia" w:hAnsi="Georgia" w:cs="Helv"/>
                <w:color w:val="000000"/>
                <w:sz w:val="20"/>
                <w:szCs w:val="20"/>
                <w:lang w:val="ro-RO"/>
              </w:rPr>
              <w:t xml:space="preserve"> 16)</w:t>
            </w:r>
            <w:r>
              <w:rPr>
                <w:rFonts w:ascii="Georgia" w:hAnsi="Georgia" w:cs="Helv"/>
                <w:color w:val="000000"/>
                <w:sz w:val="20"/>
                <w:szCs w:val="20"/>
                <w:lang w:val="ro-RO"/>
              </w:rPr>
              <w:t>, această</w:t>
            </w:r>
            <w:r w:rsidR="006603B0">
              <w:rPr>
                <w:rFonts w:ascii="Georgia" w:hAnsi="Georgia" w:cs="Helv"/>
                <w:color w:val="000000"/>
                <w:sz w:val="20"/>
                <w:szCs w:val="20"/>
                <w:lang w:val="ro-RO"/>
              </w:rPr>
              <w:t xml:space="preserve"> restricţie valorică</w:t>
            </w:r>
            <w:r>
              <w:rPr>
                <w:rFonts w:ascii="Georgia" w:hAnsi="Georgia" w:cs="Helv"/>
                <w:color w:val="000000"/>
                <w:sz w:val="20"/>
                <w:szCs w:val="20"/>
                <w:lang w:val="ro-RO"/>
              </w:rPr>
              <w:t xml:space="preserve"> lipseşte</w:t>
            </w:r>
            <w:r w:rsidR="006603B0">
              <w:rPr>
                <w:rFonts w:ascii="Georgia" w:hAnsi="Georgia" w:cs="Helv"/>
                <w:color w:val="000000"/>
                <w:sz w:val="20"/>
                <w:szCs w:val="20"/>
                <w:lang w:val="ro-RO"/>
              </w:rPr>
              <w:t>.</w:t>
            </w:r>
            <w:r>
              <w:rPr>
                <w:rFonts w:ascii="Georgia" w:hAnsi="Georgia" w:cs="Helv"/>
                <w:color w:val="000000"/>
                <w:sz w:val="20"/>
                <w:szCs w:val="20"/>
                <w:lang w:val="ro-RO"/>
              </w:rPr>
              <w:t xml:space="preserve"> </w:t>
            </w:r>
            <w:r w:rsidR="006603B0">
              <w:rPr>
                <w:rFonts w:ascii="Georgia" w:hAnsi="Georgia" w:cs="Helv"/>
                <w:color w:val="000000"/>
                <w:sz w:val="20"/>
                <w:szCs w:val="20"/>
                <w:lang w:val="ro-RO"/>
              </w:rPr>
              <w:t>D</w:t>
            </w:r>
            <w:r>
              <w:rPr>
                <w:rFonts w:ascii="Georgia" w:hAnsi="Georgia" w:cs="Helv"/>
                <w:color w:val="000000"/>
                <w:sz w:val="20"/>
                <w:szCs w:val="20"/>
                <w:lang w:val="ro-RO"/>
              </w:rPr>
              <w:t>eoarece existenţa ei duce la o neconcordanţă î</w:t>
            </w:r>
            <w:r w:rsidRPr="00966636">
              <w:rPr>
                <w:rFonts w:ascii="Georgia" w:hAnsi="Georgia" w:cs="Helv"/>
                <w:color w:val="000000"/>
                <w:sz w:val="20"/>
                <w:szCs w:val="20"/>
                <w:lang w:val="ro-RO"/>
              </w:rPr>
              <w:t>ntre</w:t>
            </w:r>
            <w:r w:rsidR="006603B0">
              <w:rPr>
                <w:rFonts w:ascii="Georgia" w:hAnsi="Georgia" w:cs="Helv"/>
                <w:color w:val="000000"/>
                <w:sz w:val="20"/>
                <w:szCs w:val="20"/>
                <w:lang w:val="ro-RO"/>
              </w:rPr>
              <w:t xml:space="preserve"> prevederile </w:t>
            </w:r>
            <w:r w:rsidRPr="00966636">
              <w:rPr>
                <w:rFonts w:ascii="Georgia" w:hAnsi="Georgia" w:cs="Helv"/>
                <w:color w:val="000000"/>
                <w:sz w:val="20"/>
                <w:szCs w:val="20"/>
                <w:lang w:val="ro-RO"/>
              </w:rPr>
              <w:t>standard</w:t>
            </w:r>
            <w:r w:rsidR="006603B0">
              <w:rPr>
                <w:rFonts w:ascii="Georgia" w:hAnsi="Georgia" w:cs="Helv"/>
                <w:color w:val="000000"/>
                <w:sz w:val="20"/>
                <w:szCs w:val="20"/>
                <w:lang w:val="ro-RO"/>
              </w:rPr>
              <w:t>elor de contabilitate ş</w:t>
            </w:r>
            <w:r w:rsidRPr="00966636">
              <w:rPr>
                <w:rFonts w:ascii="Georgia" w:hAnsi="Georgia" w:cs="Helv"/>
                <w:color w:val="000000"/>
                <w:sz w:val="20"/>
                <w:szCs w:val="20"/>
                <w:lang w:val="ro-RO"/>
              </w:rPr>
              <w:t>i legi</w:t>
            </w:r>
            <w:r>
              <w:rPr>
                <w:rFonts w:ascii="Georgia" w:hAnsi="Georgia" w:cs="Helv"/>
                <w:color w:val="000000"/>
                <w:sz w:val="20"/>
                <w:szCs w:val="20"/>
                <w:lang w:val="ro-RO"/>
              </w:rPr>
              <w:t>slaţ</w:t>
            </w:r>
            <w:r w:rsidR="006603B0">
              <w:rPr>
                <w:rFonts w:ascii="Georgia" w:hAnsi="Georgia" w:cs="Helv"/>
                <w:color w:val="000000"/>
                <w:sz w:val="20"/>
                <w:szCs w:val="20"/>
                <w:lang w:val="ro-RO"/>
              </w:rPr>
              <w:t>ia fiscală</w:t>
            </w:r>
            <w:r w:rsidRPr="00966636">
              <w:rPr>
                <w:rFonts w:ascii="Georgia" w:hAnsi="Georgia" w:cs="Helv"/>
                <w:color w:val="000000"/>
                <w:sz w:val="20"/>
                <w:szCs w:val="20"/>
                <w:lang w:val="ro-RO"/>
              </w:rPr>
              <w:t xml:space="preserve">, </w:t>
            </w:r>
            <w:r w:rsidR="00B84618">
              <w:rPr>
                <w:rFonts w:ascii="Georgia" w:hAnsi="Georgia" w:cs="Helv"/>
                <w:color w:val="000000"/>
                <w:sz w:val="20"/>
                <w:szCs w:val="20"/>
                <w:lang w:val="ro-RO"/>
              </w:rPr>
              <w:t xml:space="preserve">precum </w:t>
            </w:r>
            <w:r w:rsidR="006603B0">
              <w:rPr>
                <w:rFonts w:ascii="Georgia" w:hAnsi="Georgia" w:cs="Helv"/>
                <w:color w:val="000000"/>
                <w:sz w:val="20"/>
                <w:szCs w:val="20"/>
                <w:lang w:val="ro-RO"/>
              </w:rPr>
              <w:t xml:space="preserve">şi </w:t>
            </w:r>
            <w:r w:rsidR="00B84618">
              <w:rPr>
                <w:rFonts w:ascii="Georgia" w:hAnsi="Georgia" w:cs="Helv"/>
                <w:color w:val="000000"/>
                <w:sz w:val="20"/>
                <w:szCs w:val="20"/>
                <w:lang w:val="ro-RO"/>
              </w:rPr>
              <w:t>la dificultăţi privind</w:t>
            </w:r>
            <w:r w:rsidR="006603B0">
              <w:rPr>
                <w:rFonts w:ascii="Georgia" w:hAnsi="Georgia" w:cs="Helv"/>
                <w:color w:val="000000"/>
                <w:sz w:val="20"/>
                <w:szCs w:val="20"/>
                <w:lang w:val="ro-RO"/>
              </w:rPr>
              <w:t xml:space="preserve"> completarea declaraţiei privind impozitul pe venit din activitatea de întreprinzător, recomandăm anularea acestei restricţii.</w:t>
            </w:r>
          </w:p>
          <w:p w:rsidR="00A61A5E" w:rsidRPr="001B7CE6" w:rsidRDefault="00A61A5E" w:rsidP="007A3D35">
            <w:pPr>
              <w:rPr>
                <w:rFonts w:ascii="Georgia" w:hAnsi="Georgia" w:cs="Helv"/>
                <w:color w:val="000000"/>
                <w:sz w:val="20"/>
                <w:szCs w:val="20"/>
                <w:lang w:val="ro-RO"/>
              </w:rPr>
            </w:pPr>
            <w:r>
              <w:rPr>
                <w:rFonts w:ascii="Georgia" w:hAnsi="Georgia" w:cs="Helv"/>
                <w:color w:val="000000"/>
                <w:sz w:val="20"/>
                <w:szCs w:val="20"/>
                <w:lang w:val="ro-RO"/>
              </w:rPr>
              <w:t xml:space="preserve"> </w:t>
            </w:r>
          </w:p>
        </w:tc>
        <w:tc>
          <w:tcPr>
            <w:tcW w:w="1700" w:type="dxa"/>
          </w:tcPr>
          <w:p w:rsidR="00A61A5E" w:rsidRPr="001B7CE6" w:rsidRDefault="00A61A5E" w:rsidP="007A3D35">
            <w:pPr>
              <w:rPr>
                <w:rFonts w:ascii="Georgia" w:hAnsi="Georgia"/>
                <w:sz w:val="20"/>
                <w:szCs w:val="20"/>
                <w:lang w:val="ro-RO"/>
              </w:rPr>
            </w:pPr>
          </w:p>
        </w:tc>
      </w:tr>
    </w:tbl>
    <w:p w:rsidR="00A61A5E" w:rsidRPr="00A74686" w:rsidRDefault="00A61A5E">
      <w:pPr>
        <w:rPr>
          <w:lang w:val="es-ES_tradnl"/>
        </w:rPr>
      </w:pPr>
      <w:r w:rsidRPr="00A74686">
        <w:rPr>
          <w:lang w:val="es-ES_tradnl"/>
        </w:rPr>
        <w:br w:type="page"/>
      </w:r>
    </w:p>
    <w:tbl>
      <w:tblPr>
        <w:tblStyle w:val="TableGrid"/>
        <w:tblW w:w="1414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4A0"/>
      </w:tblPr>
      <w:tblGrid>
        <w:gridCol w:w="1951"/>
        <w:gridCol w:w="2835"/>
        <w:gridCol w:w="7655"/>
        <w:gridCol w:w="1700"/>
      </w:tblGrid>
      <w:tr w:rsidR="00AA5D36" w:rsidRPr="007C528A" w:rsidTr="00AA5D36">
        <w:tc>
          <w:tcPr>
            <w:tcW w:w="1951" w:type="dxa"/>
          </w:tcPr>
          <w:p w:rsidR="00C67811" w:rsidRPr="001B7CE6" w:rsidRDefault="007A38C1">
            <w:pPr>
              <w:spacing w:after="200" w:line="276" w:lineRule="auto"/>
              <w:rPr>
                <w:rFonts w:ascii="Georgia" w:hAnsi="Georgia"/>
                <w:sz w:val="20"/>
                <w:szCs w:val="20"/>
                <w:lang w:val="ro-RO"/>
              </w:rPr>
            </w:pPr>
            <w:r w:rsidRPr="007A38C1">
              <w:rPr>
                <w:rFonts w:ascii="Georgia" w:hAnsi="Georgia" w:cs="Tms Rmn"/>
                <w:color w:val="000000"/>
                <w:sz w:val="20"/>
                <w:szCs w:val="20"/>
                <w:lang w:val="ro-RO"/>
              </w:rPr>
              <w:lastRenderedPageBreak/>
              <w:t>Art.32 al Codului Fiscal</w:t>
            </w:r>
          </w:p>
        </w:tc>
        <w:tc>
          <w:tcPr>
            <w:tcW w:w="2835" w:type="dxa"/>
          </w:tcPr>
          <w:p w:rsidR="00C67811" w:rsidRPr="001B7CE6" w:rsidRDefault="007A38C1" w:rsidP="00C67811">
            <w:pPr>
              <w:autoSpaceDE w:val="0"/>
              <w:autoSpaceDN w:val="0"/>
              <w:adjustRightInd w:val="0"/>
              <w:spacing w:after="200" w:line="276" w:lineRule="auto"/>
              <w:rPr>
                <w:rFonts w:ascii="Georgia" w:hAnsi="Georgia" w:cs="Arial"/>
                <w:sz w:val="20"/>
                <w:szCs w:val="20"/>
                <w:lang w:val="ro-RO"/>
              </w:rPr>
            </w:pPr>
            <w:r w:rsidRPr="007A38C1">
              <w:rPr>
                <w:rFonts w:ascii="Georgia" w:hAnsi="Georgia" w:cs="Arial"/>
                <w:sz w:val="20"/>
                <w:szCs w:val="20"/>
                <w:lang w:val="ro-RO"/>
              </w:rPr>
              <w:t>Î</w:t>
            </w:r>
            <w:r w:rsidR="00C67811" w:rsidRPr="001B7CE6">
              <w:rPr>
                <w:rFonts w:ascii="Georgia" w:hAnsi="Georgia" w:cs="Arial"/>
                <w:sz w:val="20"/>
                <w:szCs w:val="20"/>
                <w:lang w:val="ro-RO"/>
              </w:rPr>
              <w:t xml:space="preserve">n scopul susţinerii mediului de afaceri şi sporirii atractivităţii investiţionale a Republicii Moldova, recomandăm amendarea articolului 32 </w:t>
            </w:r>
            <w:r w:rsidR="004340C0" w:rsidRPr="001B7CE6">
              <w:rPr>
                <w:rFonts w:ascii="Georgia" w:hAnsi="Georgia" w:cs="Arial"/>
                <w:sz w:val="20"/>
                <w:szCs w:val="20"/>
                <w:lang w:val="ro-RO"/>
              </w:rPr>
              <w:t xml:space="preserve">al </w:t>
            </w:r>
            <w:r w:rsidR="00C67811" w:rsidRPr="001B7CE6">
              <w:rPr>
                <w:rFonts w:ascii="Georgia" w:hAnsi="Georgia" w:cs="Arial"/>
                <w:sz w:val="20"/>
                <w:szCs w:val="20"/>
                <w:lang w:val="ro-RO"/>
              </w:rPr>
              <w:t>Cod</w:t>
            </w:r>
            <w:r w:rsidR="004340C0" w:rsidRPr="001B7CE6">
              <w:rPr>
                <w:rFonts w:ascii="Georgia" w:hAnsi="Georgia" w:cs="Arial"/>
                <w:sz w:val="20"/>
                <w:szCs w:val="20"/>
                <w:lang w:val="ro-RO"/>
              </w:rPr>
              <w:t>ului</w:t>
            </w:r>
            <w:r w:rsidR="00C67811" w:rsidRPr="001B7CE6">
              <w:rPr>
                <w:rFonts w:ascii="Georgia" w:hAnsi="Georgia" w:cs="Arial"/>
                <w:sz w:val="20"/>
                <w:szCs w:val="20"/>
                <w:lang w:val="ro-RO"/>
              </w:rPr>
              <w:t xml:space="preserve"> Fiscal, prin:</w:t>
            </w:r>
          </w:p>
          <w:p w:rsidR="00C67811" w:rsidRPr="001B7CE6" w:rsidRDefault="007A38C1" w:rsidP="004340C0">
            <w:pPr>
              <w:pStyle w:val="ListParagraph"/>
              <w:numPr>
                <w:ilvl w:val="0"/>
                <w:numId w:val="1"/>
              </w:numPr>
              <w:autoSpaceDE w:val="0"/>
              <w:autoSpaceDN w:val="0"/>
              <w:adjustRightInd w:val="0"/>
              <w:spacing w:after="0" w:line="240" w:lineRule="auto"/>
              <w:ind w:left="176" w:hanging="176"/>
              <w:rPr>
                <w:rFonts w:cs="Arial"/>
                <w:lang w:val="ro-RO"/>
              </w:rPr>
            </w:pPr>
            <w:r w:rsidRPr="007A38C1">
              <w:rPr>
                <w:rFonts w:cs="Arial"/>
                <w:lang w:val="ro-RO"/>
              </w:rPr>
              <w:t>Majorarea termenului de reportare în timp  a pierderilor fiscale;</w:t>
            </w:r>
          </w:p>
          <w:p w:rsidR="00FF3ACC" w:rsidRPr="001B7CE6" w:rsidRDefault="007A38C1" w:rsidP="00FF3ACC">
            <w:pPr>
              <w:pStyle w:val="ListParagraph"/>
              <w:numPr>
                <w:ilvl w:val="0"/>
                <w:numId w:val="1"/>
              </w:numPr>
              <w:autoSpaceDE w:val="0"/>
              <w:autoSpaceDN w:val="0"/>
              <w:adjustRightInd w:val="0"/>
              <w:spacing w:after="0" w:line="240" w:lineRule="auto"/>
              <w:ind w:left="176" w:hanging="176"/>
              <w:rPr>
                <w:rFonts w:cs="Arial"/>
                <w:lang w:val="ro-RO"/>
              </w:rPr>
            </w:pPr>
            <w:r w:rsidRPr="007A38C1">
              <w:rPr>
                <w:rFonts w:cs="Arial"/>
                <w:lang w:val="ro-RO"/>
              </w:rPr>
              <w:t>Pierderile fiscale neutilizate într-o anumită perioadă fiscală să nu fie anulate şi să fie reportate în perioadele fiscale ulterioare, în limita perioadei de timp;</w:t>
            </w:r>
          </w:p>
          <w:p w:rsidR="00C67811" w:rsidRPr="001B7CE6" w:rsidRDefault="007A38C1" w:rsidP="00A41F73">
            <w:pPr>
              <w:pStyle w:val="ListParagraph"/>
              <w:numPr>
                <w:ilvl w:val="0"/>
                <w:numId w:val="1"/>
              </w:numPr>
              <w:autoSpaceDE w:val="0"/>
              <w:autoSpaceDN w:val="0"/>
              <w:adjustRightInd w:val="0"/>
              <w:spacing w:after="0" w:line="240" w:lineRule="auto"/>
              <w:ind w:left="176" w:hanging="176"/>
              <w:rPr>
                <w:lang w:val="ro-RO"/>
              </w:rPr>
            </w:pPr>
            <w:r w:rsidRPr="007A38C1">
              <w:rPr>
                <w:rFonts w:cs="Arial"/>
                <w:lang w:val="ro-RO"/>
              </w:rPr>
              <w:t>Excluderea din norma respectivă a sintagmei “eşalonat, în părţi egale”.</w:t>
            </w:r>
          </w:p>
        </w:tc>
        <w:tc>
          <w:tcPr>
            <w:tcW w:w="7655" w:type="dxa"/>
          </w:tcPr>
          <w:p w:rsidR="00C67811" w:rsidRPr="001B7CE6" w:rsidRDefault="007A38C1" w:rsidP="00C67811">
            <w:pPr>
              <w:autoSpaceDE w:val="0"/>
              <w:autoSpaceDN w:val="0"/>
              <w:adjustRightInd w:val="0"/>
              <w:rPr>
                <w:rFonts w:ascii="Georgia" w:hAnsi="Georgia" w:cs="Arial"/>
                <w:sz w:val="20"/>
                <w:szCs w:val="20"/>
                <w:lang w:val="ro-RO"/>
              </w:rPr>
            </w:pPr>
            <w:r w:rsidRPr="007A38C1">
              <w:rPr>
                <w:rFonts w:ascii="Georgia" w:hAnsi="Georgia" w:cs="Arial"/>
                <w:sz w:val="20"/>
                <w:szCs w:val="20"/>
                <w:lang w:val="ro-RO"/>
              </w:rPr>
              <w:t>Legislaţia fiscală</w:t>
            </w:r>
            <w:r w:rsidR="00C67811" w:rsidRPr="001B7CE6">
              <w:rPr>
                <w:rStyle w:val="FootnoteReference"/>
                <w:rFonts w:ascii="Georgia" w:hAnsi="Georgia" w:cs="Arial"/>
                <w:sz w:val="20"/>
                <w:szCs w:val="20"/>
                <w:lang w:val="ro-RO"/>
              </w:rPr>
              <w:footnoteReference w:id="7"/>
            </w:r>
            <w:r w:rsidR="00C67811" w:rsidRPr="001B7CE6">
              <w:rPr>
                <w:rFonts w:ascii="Georgia" w:hAnsi="Georgia" w:cs="Arial"/>
                <w:sz w:val="20"/>
                <w:szCs w:val="20"/>
                <w:lang w:val="ro-RO"/>
              </w:rPr>
              <w:t xml:space="preserve"> stabileşte posibilitatea reportării pierderilor rezultate din activitatea de întreprinzător eşalonat, în părţi egale, pe următorii 3 ani.</w:t>
            </w:r>
          </w:p>
          <w:p w:rsidR="00C67811" w:rsidRPr="001B7CE6" w:rsidRDefault="00C67811" w:rsidP="00C67811">
            <w:pPr>
              <w:autoSpaceDE w:val="0"/>
              <w:autoSpaceDN w:val="0"/>
              <w:adjustRightInd w:val="0"/>
              <w:rPr>
                <w:rFonts w:ascii="Georgia" w:hAnsi="Georgia" w:cs="Arial"/>
                <w:sz w:val="20"/>
                <w:szCs w:val="20"/>
                <w:u w:val="single"/>
                <w:lang w:val="ro-RO"/>
              </w:rPr>
            </w:pPr>
          </w:p>
          <w:p w:rsidR="00C67811" w:rsidRPr="001B7CE6" w:rsidRDefault="007A38C1" w:rsidP="00136EFB">
            <w:pPr>
              <w:autoSpaceDE w:val="0"/>
              <w:autoSpaceDN w:val="0"/>
              <w:adjustRightInd w:val="0"/>
              <w:spacing w:after="200" w:line="276" w:lineRule="auto"/>
              <w:rPr>
                <w:rFonts w:ascii="Georgia" w:hAnsi="Georgia" w:cs="Arial"/>
                <w:sz w:val="20"/>
                <w:szCs w:val="20"/>
                <w:lang w:val="ro-RO"/>
              </w:rPr>
            </w:pPr>
            <w:r w:rsidRPr="007A38C1">
              <w:rPr>
                <w:rFonts w:ascii="Georgia" w:hAnsi="Georgia" w:cs="Arial"/>
                <w:sz w:val="20"/>
                <w:szCs w:val="20"/>
                <w:lang w:val="ro-RO"/>
              </w:rPr>
              <w:t xml:space="preserve">Regimul respectiv de reportare a pierderilor fiscale pe viitor în părţi egale nu este unul favorabil pentru contribuabili, din motiv că pierderile fiscale neutilizate riscă să fie anulate datorită perioadei prea scurte de reportare prevăzute de legislaţie şi în situaţia în care se înregistrează un venit impozabil insuficient pentru deducerea pierderilor fiscale din anii precedenţi. </w:t>
            </w:r>
            <w:r w:rsidR="0035316E">
              <w:rPr>
                <w:rStyle w:val="hps"/>
                <w:rFonts w:ascii="Georgia" w:hAnsi="Georgia" w:cs="Arial"/>
                <w:sz w:val="20"/>
                <w:szCs w:val="20"/>
                <w:lang w:val="ro-RO"/>
              </w:rPr>
              <w:t xml:space="preserve">Ca şi consecinţă, </w:t>
            </w:r>
            <w:r w:rsidR="0035316E">
              <w:rPr>
                <w:rFonts w:ascii="Georgia" w:hAnsi="Georgia" w:cs="Arial"/>
                <w:sz w:val="20"/>
                <w:szCs w:val="20"/>
                <w:lang w:val="ro-RO"/>
              </w:rPr>
              <w:t>anularea (chiar şi parţială) a acestor pierderi duce la majorarea valorii efective a impozitului pe venit şi reprezintă un cost fiscal adiţional pentru contribuabili.</w:t>
            </w:r>
          </w:p>
          <w:p w:rsidR="00C67811" w:rsidRPr="001B7CE6" w:rsidRDefault="0035316E" w:rsidP="00C67811">
            <w:pPr>
              <w:autoSpaceDE w:val="0"/>
              <w:autoSpaceDN w:val="0"/>
              <w:adjustRightInd w:val="0"/>
              <w:spacing w:after="200" w:line="276" w:lineRule="auto"/>
              <w:rPr>
                <w:rFonts w:ascii="Georgia" w:hAnsi="Georgia" w:cs="Arial"/>
                <w:sz w:val="20"/>
                <w:szCs w:val="20"/>
                <w:lang w:val="ro-RO"/>
              </w:rPr>
            </w:pPr>
            <w:r>
              <w:rPr>
                <w:rFonts w:ascii="Georgia" w:hAnsi="Georgia" w:cs="Arial"/>
                <w:sz w:val="20"/>
                <w:szCs w:val="20"/>
                <w:lang w:val="ro-RO"/>
              </w:rPr>
              <w:t>Eşalonarea pierderilor fiscale în părţi egale pe parcurs de 3 ani are un impact negativ asupra climatului investiţional din Republica Moldova, datorită faptului că în mod obişnuit agenţii economici suportă pierderi fiscale în primii ani de activitate de la iniţierea afacerii.</w:t>
            </w:r>
          </w:p>
          <w:p w:rsidR="00C67811" w:rsidRPr="001B7CE6" w:rsidRDefault="0035316E" w:rsidP="00C67811">
            <w:pPr>
              <w:autoSpaceDE w:val="0"/>
              <w:autoSpaceDN w:val="0"/>
              <w:adjustRightInd w:val="0"/>
              <w:rPr>
                <w:rFonts w:ascii="Georgia" w:hAnsi="Georgia" w:cs="Arial"/>
                <w:sz w:val="20"/>
                <w:szCs w:val="20"/>
                <w:lang w:val="ro-RO"/>
              </w:rPr>
            </w:pPr>
            <w:r>
              <w:rPr>
                <w:rFonts w:ascii="Georgia" w:hAnsi="Georgia" w:cs="Arial"/>
                <w:sz w:val="20"/>
                <w:szCs w:val="20"/>
                <w:lang w:val="ro-RO"/>
              </w:rPr>
              <w:t>Ca exemplu, menţionăm că legislaţia multor state EU nu limitează reportarea în viitor a pierderilor fiscale la o anumită perioadă, iar în statele care prevăd aceste limite se oferă contribuabililor o perioadă de minimum 5 ani</w:t>
            </w:r>
            <w:r w:rsidR="00C67811" w:rsidRPr="001B7CE6">
              <w:rPr>
                <w:rStyle w:val="FootnoteReference"/>
                <w:rFonts w:ascii="Georgia" w:hAnsi="Georgia" w:cs="Arial"/>
                <w:sz w:val="20"/>
                <w:szCs w:val="20"/>
                <w:lang w:val="ro-RO"/>
              </w:rPr>
              <w:footnoteReference w:id="8"/>
            </w:r>
            <w:r w:rsidR="00C67811" w:rsidRPr="001B7CE6">
              <w:rPr>
                <w:rFonts w:ascii="Georgia" w:hAnsi="Georgia" w:cs="Arial"/>
                <w:sz w:val="20"/>
                <w:szCs w:val="20"/>
                <w:lang w:val="ro-RO"/>
              </w:rPr>
              <w:t>.</w:t>
            </w:r>
          </w:p>
          <w:p w:rsidR="00C67811" w:rsidRPr="001B7CE6" w:rsidRDefault="00C67811">
            <w:pPr>
              <w:rPr>
                <w:rFonts w:ascii="Georgia" w:hAnsi="Georgia"/>
                <w:sz w:val="20"/>
                <w:szCs w:val="20"/>
                <w:lang w:val="ro-RO"/>
              </w:rPr>
            </w:pPr>
          </w:p>
          <w:p w:rsidR="00E74874" w:rsidRPr="001B7CE6" w:rsidRDefault="00E74874">
            <w:pPr>
              <w:rPr>
                <w:rFonts w:ascii="Georgia" w:hAnsi="Georgia"/>
                <w:sz w:val="20"/>
                <w:szCs w:val="20"/>
                <w:lang w:val="ro-RO"/>
              </w:rPr>
            </w:pPr>
          </w:p>
          <w:p w:rsidR="00E74874" w:rsidRPr="001B7CE6" w:rsidRDefault="00E74874">
            <w:pPr>
              <w:spacing w:after="200" w:line="276" w:lineRule="auto"/>
              <w:rPr>
                <w:rFonts w:ascii="Georgia" w:hAnsi="Georgia"/>
                <w:sz w:val="20"/>
                <w:szCs w:val="20"/>
                <w:lang w:val="ro-RO"/>
              </w:rPr>
            </w:pPr>
          </w:p>
        </w:tc>
        <w:tc>
          <w:tcPr>
            <w:tcW w:w="1700" w:type="dxa"/>
          </w:tcPr>
          <w:p w:rsidR="00C67811" w:rsidRPr="001B7CE6" w:rsidRDefault="00C67811">
            <w:pPr>
              <w:spacing w:after="200" w:line="276" w:lineRule="auto"/>
              <w:rPr>
                <w:rFonts w:ascii="Georgia" w:hAnsi="Georgia"/>
                <w:sz w:val="20"/>
                <w:szCs w:val="20"/>
                <w:lang w:val="ro-RO"/>
              </w:rPr>
            </w:pPr>
          </w:p>
        </w:tc>
      </w:tr>
      <w:tr w:rsidR="00C4512C" w:rsidRPr="007C528A" w:rsidTr="00AA5D36">
        <w:tc>
          <w:tcPr>
            <w:tcW w:w="1951" w:type="dxa"/>
          </w:tcPr>
          <w:p w:rsidR="00C4512C" w:rsidRPr="001B7CE6" w:rsidRDefault="0031153D" w:rsidP="00F2739C">
            <w:pPr>
              <w:spacing w:after="200" w:line="276" w:lineRule="auto"/>
              <w:rPr>
                <w:rFonts w:ascii="Georgia" w:hAnsi="Georgia" w:cs="Tms Rmn"/>
                <w:color w:val="000000"/>
                <w:sz w:val="20"/>
                <w:szCs w:val="20"/>
                <w:lang w:val="ro-RO"/>
              </w:rPr>
            </w:pPr>
            <w:r w:rsidRPr="001B7CE6">
              <w:rPr>
                <w:rFonts w:ascii="Georgia" w:hAnsi="Georgia" w:cs="Tms Rmn"/>
                <w:color w:val="000000"/>
                <w:sz w:val="20"/>
                <w:szCs w:val="20"/>
                <w:lang w:val="ro-RO"/>
              </w:rPr>
              <w:t xml:space="preserve">Art.36, alin. (1) </w:t>
            </w:r>
            <w:r w:rsidR="00F2739C" w:rsidRPr="001B7CE6">
              <w:rPr>
                <w:rFonts w:ascii="Georgia" w:hAnsi="Georgia" w:cs="Tms Rmn"/>
                <w:color w:val="000000"/>
                <w:sz w:val="20"/>
                <w:szCs w:val="20"/>
                <w:lang w:val="ro-RO"/>
              </w:rPr>
              <w:t>şi (2) al Codului fiscal</w:t>
            </w:r>
          </w:p>
        </w:tc>
        <w:tc>
          <w:tcPr>
            <w:tcW w:w="2835" w:type="dxa"/>
          </w:tcPr>
          <w:p w:rsidR="00D15817" w:rsidRPr="001B7CE6" w:rsidRDefault="0031153D">
            <w:pPr>
              <w:pStyle w:val="ListParagraph"/>
              <w:numPr>
                <w:ilvl w:val="0"/>
                <w:numId w:val="7"/>
              </w:numPr>
              <w:autoSpaceDE w:val="0"/>
              <w:autoSpaceDN w:val="0"/>
              <w:adjustRightInd w:val="0"/>
              <w:spacing w:after="0" w:line="240" w:lineRule="auto"/>
              <w:ind w:left="176" w:hanging="176"/>
              <w:rPr>
                <w:rFonts w:cs="Arial"/>
                <w:lang w:val="ro-RO"/>
              </w:rPr>
            </w:pPr>
            <w:r w:rsidRPr="001B7CE6">
              <w:rPr>
                <w:rFonts w:cs="Arial"/>
                <w:bCs/>
                <w:iCs/>
                <w:lang w:val="ro-RO"/>
              </w:rPr>
              <w:t xml:space="preserve">Revizuirea </w:t>
            </w:r>
            <w:r w:rsidR="0035316E">
              <w:rPr>
                <w:rFonts w:cs="Arial"/>
                <w:bCs/>
                <w:iCs/>
                <w:lang w:val="ro-RO"/>
              </w:rPr>
              <w:t>plafonului de deductibilitate a dona</w:t>
            </w:r>
            <w:r w:rsidR="0035316E">
              <w:rPr>
                <w:rFonts w:eastAsia="Arial,BoldItalic" w:cs="Arial,BoldItalic"/>
                <w:bCs/>
                <w:iCs/>
                <w:lang w:val="ro-RO"/>
              </w:rPr>
              <w:t>ţ</w:t>
            </w:r>
            <w:r w:rsidR="0035316E">
              <w:rPr>
                <w:rFonts w:cs="Arial"/>
                <w:bCs/>
                <w:iCs/>
                <w:lang w:val="ro-RO"/>
              </w:rPr>
              <w:t>iilor în scopuri filantropice sau de sponsorizare</w:t>
            </w:r>
          </w:p>
          <w:p w:rsidR="00D15817" w:rsidRPr="001B7CE6" w:rsidRDefault="00D15817">
            <w:pPr>
              <w:pStyle w:val="ListParagraph"/>
              <w:autoSpaceDE w:val="0"/>
              <w:autoSpaceDN w:val="0"/>
              <w:adjustRightInd w:val="0"/>
              <w:spacing w:after="0" w:line="240" w:lineRule="auto"/>
              <w:ind w:left="176"/>
              <w:rPr>
                <w:rFonts w:cs="Arial"/>
                <w:lang w:val="ro-RO"/>
              </w:rPr>
            </w:pPr>
          </w:p>
          <w:p w:rsidR="00D15817" w:rsidRPr="001B7CE6" w:rsidRDefault="0035316E">
            <w:pPr>
              <w:pStyle w:val="ListParagraph"/>
              <w:numPr>
                <w:ilvl w:val="0"/>
                <w:numId w:val="7"/>
              </w:numPr>
              <w:autoSpaceDE w:val="0"/>
              <w:autoSpaceDN w:val="0"/>
              <w:adjustRightInd w:val="0"/>
              <w:spacing w:after="0" w:line="240" w:lineRule="auto"/>
              <w:ind w:left="176" w:hanging="176"/>
              <w:rPr>
                <w:rFonts w:cs="Arial"/>
                <w:lang w:val="ro-RO"/>
              </w:rPr>
            </w:pPr>
            <w:r>
              <w:rPr>
                <w:rFonts w:cs="Arial"/>
                <w:lang w:val="ro-RO"/>
              </w:rPr>
              <w:t>Deducerea donaţiilor în beneficiul autorităţilor şi instituţiilor publice să fie permisă în mărime deplină, fără plafonări</w:t>
            </w:r>
          </w:p>
        </w:tc>
        <w:tc>
          <w:tcPr>
            <w:tcW w:w="7655" w:type="dxa"/>
          </w:tcPr>
          <w:p w:rsidR="004E584E" w:rsidRPr="001B7CE6" w:rsidRDefault="0035316E" w:rsidP="00C4512C">
            <w:pPr>
              <w:autoSpaceDE w:val="0"/>
              <w:autoSpaceDN w:val="0"/>
              <w:adjustRightInd w:val="0"/>
              <w:spacing w:after="200" w:line="276" w:lineRule="auto"/>
              <w:rPr>
                <w:rFonts w:ascii="Georgia" w:hAnsi="Georgia" w:cs="Arial"/>
                <w:sz w:val="20"/>
                <w:szCs w:val="20"/>
                <w:lang w:val="ro-RO"/>
              </w:rPr>
            </w:pPr>
            <w:r>
              <w:rPr>
                <w:rFonts w:ascii="Georgia" w:hAnsi="Georgia" w:cs="Arial"/>
                <w:sz w:val="20"/>
                <w:szCs w:val="20"/>
                <w:lang w:val="ro-RO"/>
              </w:rPr>
              <w:t>Atât în perioada aplicării ratei 0% a impozitului pe venit din activitatea de întreprinzător, cât şi în perioadele ulterioare, art. 36 al Codului fiscal prevede o deducere fiscală limitată a donaţiilor în scopuri filantropice sau de sponsorizare - nu mai mult de 10% din venitul impozabil al contribuabilului.</w:t>
            </w:r>
          </w:p>
          <w:p w:rsidR="00C4512C" w:rsidRPr="001B7CE6" w:rsidRDefault="0035316E" w:rsidP="00C4512C">
            <w:pPr>
              <w:autoSpaceDE w:val="0"/>
              <w:autoSpaceDN w:val="0"/>
              <w:adjustRightInd w:val="0"/>
              <w:spacing w:after="200" w:line="276" w:lineRule="auto"/>
              <w:rPr>
                <w:rFonts w:ascii="Georgia" w:hAnsi="Georgia" w:cs="Arial"/>
                <w:sz w:val="20"/>
                <w:szCs w:val="20"/>
                <w:lang w:val="ro-RO"/>
              </w:rPr>
            </w:pPr>
            <w:r>
              <w:rPr>
                <w:rFonts w:ascii="Georgia" w:hAnsi="Georgia" w:cs="Arial"/>
                <w:sz w:val="20"/>
                <w:szCs w:val="20"/>
                <w:lang w:val="ro-RO"/>
              </w:rPr>
              <w:t xml:space="preserve"> Această regulă este aplicabilă atât agenţilor economici, cât şi persoanelor fizice care nu practică activitatea de antreprenoriat.</w:t>
            </w:r>
          </w:p>
          <w:p w:rsidR="00C4512C" w:rsidRPr="001B7CE6" w:rsidRDefault="0035316E" w:rsidP="00C4512C">
            <w:pPr>
              <w:autoSpaceDE w:val="0"/>
              <w:autoSpaceDN w:val="0"/>
              <w:adjustRightInd w:val="0"/>
              <w:spacing w:after="200" w:line="276" w:lineRule="auto"/>
              <w:rPr>
                <w:rFonts w:ascii="Georgia" w:hAnsi="Georgia" w:cs="Arial"/>
                <w:sz w:val="20"/>
                <w:szCs w:val="20"/>
                <w:lang w:val="ro-RO"/>
              </w:rPr>
            </w:pPr>
            <w:r>
              <w:rPr>
                <w:rFonts w:ascii="Georgia" w:hAnsi="Georgia" w:cs="Arial"/>
                <w:sz w:val="20"/>
                <w:szCs w:val="20"/>
                <w:lang w:val="ro-RO"/>
              </w:rPr>
              <w:t>Prevederile fiscale menţionate nu stimulează efectuarea donaţiilor în scopuri filantropice şi de sponsorizare, defavorizând intenţia companiilor de a suporta cheltuieli în acest sens. Această concluzie rezultă din următoarele:</w:t>
            </w:r>
          </w:p>
          <w:p w:rsidR="0031153D" w:rsidRPr="001B7CE6" w:rsidRDefault="0035316E" w:rsidP="0031153D">
            <w:pPr>
              <w:pStyle w:val="ListParagraph"/>
              <w:numPr>
                <w:ilvl w:val="0"/>
                <w:numId w:val="5"/>
              </w:numPr>
              <w:autoSpaceDE w:val="0"/>
              <w:autoSpaceDN w:val="0"/>
              <w:adjustRightInd w:val="0"/>
              <w:spacing w:after="0" w:line="240" w:lineRule="auto"/>
              <w:rPr>
                <w:rFonts w:cs="Arial"/>
                <w:lang w:val="ro-RO"/>
              </w:rPr>
            </w:pPr>
            <w:r>
              <w:rPr>
                <w:rFonts w:cs="Arial"/>
                <w:bCs/>
                <w:lang w:val="ro-RO"/>
              </w:rPr>
              <w:t>plafonul redus - doar pân</w:t>
            </w:r>
            <w:r>
              <w:rPr>
                <w:rFonts w:cs="Arial,Bold"/>
                <w:bCs/>
                <w:lang w:val="ro-RO"/>
              </w:rPr>
              <w:t xml:space="preserve">ă </w:t>
            </w:r>
            <w:r>
              <w:rPr>
                <w:rFonts w:cs="Arial"/>
                <w:bCs/>
                <w:lang w:val="ro-RO"/>
              </w:rPr>
              <w:t>la 10</w:t>
            </w:r>
            <w:r>
              <w:rPr>
                <w:rFonts w:cs="Arial"/>
                <w:b/>
                <w:bCs/>
                <w:lang w:val="ro-RO"/>
              </w:rPr>
              <w:t xml:space="preserve">% </w:t>
            </w:r>
            <w:r>
              <w:rPr>
                <w:rFonts w:cs="Arial"/>
                <w:lang w:val="ro-RO"/>
              </w:rPr>
              <w:t xml:space="preserve">din venitul impozabil reprezintă o </w:t>
            </w:r>
            <w:r>
              <w:rPr>
                <w:rFonts w:cs="Arial"/>
                <w:lang w:val="ro-RO"/>
              </w:rPr>
              <w:lastRenderedPageBreak/>
              <w:t>limitare semnificativă, mai ales, având în vedere faptul</w:t>
            </w:r>
          </w:p>
          <w:p w:rsidR="0031153D" w:rsidRPr="001B7CE6" w:rsidRDefault="0035316E" w:rsidP="0031153D">
            <w:pPr>
              <w:pStyle w:val="ListParagraph"/>
              <w:autoSpaceDE w:val="0"/>
              <w:autoSpaceDN w:val="0"/>
              <w:adjustRightInd w:val="0"/>
              <w:spacing w:after="0" w:line="240" w:lineRule="auto"/>
              <w:rPr>
                <w:rFonts w:cs="Arial"/>
                <w:lang w:val="ro-RO"/>
              </w:rPr>
            </w:pPr>
            <w:r>
              <w:rPr>
                <w:rFonts w:cs="Arial"/>
                <w:lang w:val="ro-RO"/>
              </w:rPr>
              <w:t>că la efectuarea donaţiilor nemonetare în valoarea bunurilor transmise către beneficiarii donaţiei, se include şi TVA aferent achiziţiei acestora;</w:t>
            </w:r>
          </w:p>
          <w:p w:rsidR="0031153D" w:rsidRPr="001B7CE6" w:rsidRDefault="0031153D" w:rsidP="0031153D">
            <w:pPr>
              <w:pStyle w:val="ListParagraph"/>
              <w:autoSpaceDE w:val="0"/>
              <w:autoSpaceDN w:val="0"/>
              <w:adjustRightInd w:val="0"/>
              <w:spacing w:after="0" w:line="240" w:lineRule="auto"/>
              <w:rPr>
                <w:rFonts w:cs="Arial"/>
                <w:lang w:val="ro-RO"/>
              </w:rPr>
            </w:pPr>
          </w:p>
          <w:p w:rsidR="0031153D" w:rsidRPr="001B7CE6" w:rsidRDefault="0035316E" w:rsidP="0031153D">
            <w:pPr>
              <w:pStyle w:val="ListParagraph"/>
              <w:numPr>
                <w:ilvl w:val="0"/>
                <w:numId w:val="6"/>
              </w:numPr>
              <w:autoSpaceDE w:val="0"/>
              <w:autoSpaceDN w:val="0"/>
              <w:adjustRightInd w:val="0"/>
              <w:spacing w:after="0" w:line="240" w:lineRule="auto"/>
              <w:rPr>
                <w:rFonts w:cs="Arial"/>
                <w:lang w:val="ro-RO"/>
              </w:rPr>
            </w:pPr>
            <w:r>
              <w:rPr>
                <w:rFonts w:cs="Arial"/>
                <w:bCs/>
                <w:lang w:val="ro-RO"/>
              </w:rPr>
              <w:t>stabilirea plafonului de 10% aplicabil venitului impozabil este absolut neavantajoas</w:t>
            </w:r>
            <w:r>
              <w:rPr>
                <w:rFonts w:cs="Arial,Bold"/>
                <w:bCs/>
                <w:lang w:val="ro-RO"/>
              </w:rPr>
              <w:t xml:space="preserve">ă </w:t>
            </w:r>
            <w:r>
              <w:rPr>
                <w:rFonts w:cs="Arial"/>
                <w:bCs/>
                <w:lang w:val="ro-RO"/>
              </w:rPr>
              <w:t>pentru companiile care constat</w:t>
            </w:r>
            <w:r>
              <w:rPr>
                <w:rFonts w:cs="Arial,Bold"/>
                <w:bCs/>
                <w:lang w:val="ro-RO"/>
              </w:rPr>
              <w:t>ă</w:t>
            </w:r>
            <w:r>
              <w:rPr>
                <w:rFonts w:cs="Arial"/>
                <w:bCs/>
                <w:lang w:val="ro-RO"/>
              </w:rPr>
              <w:t xml:space="preserve"> pierderi fiscale.</w:t>
            </w:r>
            <w:r>
              <w:rPr>
                <w:rFonts w:cs="Arial"/>
                <w:b/>
                <w:bCs/>
                <w:lang w:val="ro-RO"/>
              </w:rPr>
              <w:t xml:space="preserve"> </w:t>
            </w:r>
            <w:r>
              <w:rPr>
                <w:rFonts w:cs="Arial"/>
                <w:bCs/>
                <w:lang w:val="ro-RO"/>
              </w:rPr>
              <w:t>Datorită diferitelor reguli de evidenţă în scopuri contabile versu</w:t>
            </w:r>
            <w:r>
              <w:rPr>
                <w:rFonts w:cs="Arial,Bold"/>
                <w:bCs/>
                <w:lang w:val="ro-RO"/>
              </w:rPr>
              <w:t xml:space="preserve">s </w:t>
            </w:r>
            <w:r>
              <w:rPr>
                <w:rFonts w:cs="Arial"/>
                <w:bCs/>
                <w:lang w:val="ro-RO"/>
              </w:rPr>
              <w:t>în scopuri fiscale, unele comp</w:t>
            </w:r>
            <w:r>
              <w:rPr>
                <w:rFonts w:cs="Arial,Bold"/>
                <w:bCs/>
                <w:lang w:val="ro-RO"/>
              </w:rPr>
              <w:t>a</w:t>
            </w:r>
            <w:r>
              <w:rPr>
                <w:rFonts w:cs="Arial"/>
                <w:bCs/>
                <w:lang w:val="ro-RO"/>
              </w:rPr>
              <w:t>nii obţin pierderi</w:t>
            </w:r>
            <w:r>
              <w:rPr>
                <w:rFonts w:cs="Arial"/>
                <w:lang w:val="ro-RO"/>
              </w:rPr>
              <w:t xml:space="preserve"> fiscale, comparativ cu profiturile obţinute în realitate şi reflectate în rapoartele financiare.</w:t>
            </w:r>
            <w:r>
              <w:rPr>
                <w:rFonts w:cs="Arial"/>
                <w:bCs/>
                <w:lang w:val="ro-RO"/>
              </w:rPr>
              <w:t xml:space="preserve"> Însă, plafonul în mărime de 10% se aplică nu profitului contabil, ci venitului impozabi</w:t>
            </w:r>
            <w:r>
              <w:rPr>
                <w:rFonts w:cs="Arial,Bold"/>
                <w:bCs/>
                <w:lang w:val="ro-RO"/>
              </w:rPr>
              <w:t>l.</w:t>
            </w:r>
          </w:p>
          <w:p w:rsidR="0031153D" w:rsidRPr="001B7CE6" w:rsidRDefault="0031153D" w:rsidP="0031153D">
            <w:pPr>
              <w:autoSpaceDE w:val="0"/>
              <w:autoSpaceDN w:val="0"/>
              <w:adjustRightInd w:val="0"/>
              <w:spacing w:after="200" w:line="276" w:lineRule="auto"/>
              <w:rPr>
                <w:rFonts w:ascii="Georgia" w:hAnsi="Georgia" w:cs="Arial"/>
                <w:sz w:val="20"/>
                <w:szCs w:val="20"/>
                <w:lang w:val="ro-RO"/>
              </w:rPr>
            </w:pPr>
          </w:p>
          <w:p w:rsidR="00D15817" w:rsidRPr="001B7CE6" w:rsidRDefault="0035316E">
            <w:pPr>
              <w:autoSpaceDE w:val="0"/>
              <w:autoSpaceDN w:val="0"/>
              <w:adjustRightInd w:val="0"/>
              <w:spacing w:after="200" w:line="276" w:lineRule="auto"/>
              <w:rPr>
                <w:rFonts w:ascii="Georgia" w:hAnsi="Georgia" w:cs="Arial"/>
                <w:sz w:val="20"/>
                <w:szCs w:val="20"/>
                <w:lang w:val="ro-RO"/>
              </w:rPr>
            </w:pPr>
            <w:r>
              <w:rPr>
                <w:rFonts w:ascii="Georgia" w:hAnsi="Georgia" w:cs="Arial"/>
                <w:sz w:val="20"/>
                <w:szCs w:val="20"/>
                <w:lang w:val="ro-RO"/>
              </w:rPr>
              <w:t>Astfel, reie</w:t>
            </w:r>
            <w:r>
              <w:rPr>
                <w:rFonts w:ascii="Cambria Math" w:hAnsi="Cambria Math" w:cs="Cambria Math"/>
                <w:sz w:val="20"/>
                <w:szCs w:val="20"/>
                <w:lang w:val="ro-RO"/>
              </w:rPr>
              <w:t>ș</w:t>
            </w:r>
            <w:r>
              <w:rPr>
                <w:rFonts w:ascii="Georgia" w:hAnsi="Georgia" w:cs="Georgia"/>
                <w:sz w:val="20"/>
                <w:szCs w:val="20"/>
                <w:lang w:val="ro-RO"/>
              </w:rPr>
              <w:t xml:space="preserve">ind din cele de mai sus, propunem ca la art.36 alin. (1) cuvintele „10% din venitul impozabil” să fie </w:t>
            </w:r>
            <w:r>
              <w:rPr>
                <w:rFonts w:ascii="Georgia" w:hAnsi="Georgia" w:cs="Arial"/>
                <w:sz w:val="20"/>
                <w:szCs w:val="20"/>
                <w:lang w:val="ro-RO"/>
              </w:rPr>
              <w:t>substituite prin cuvintele „3% din venitul brut”, iar ultima frază din alineat să fie exclusă.</w:t>
            </w:r>
          </w:p>
          <w:p w:rsidR="00D15817" w:rsidRPr="001B7CE6" w:rsidRDefault="0035316E" w:rsidP="0096622A">
            <w:pPr>
              <w:autoSpaceDE w:val="0"/>
              <w:autoSpaceDN w:val="0"/>
              <w:adjustRightInd w:val="0"/>
              <w:spacing w:after="200" w:line="276" w:lineRule="auto"/>
              <w:rPr>
                <w:rFonts w:ascii="Arial" w:hAnsi="Arial" w:cs="Arial"/>
                <w:sz w:val="19"/>
                <w:szCs w:val="19"/>
                <w:lang w:val="ro-RO"/>
              </w:rPr>
            </w:pPr>
            <w:r>
              <w:rPr>
                <w:rFonts w:ascii="Georgia" w:hAnsi="Georgia" w:cs="Arial"/>
                <w:sz w:val="20"/>
                <w:szCs w:val="20"/>
                <w:lang w:val="ro-RO"/>
              </w:rPr>
              <w:t>Adiţional la recomandarea de mai sus, sugerăm ca donaţiile în beneficiul autorităţilor şi instituţiilor publice să fie deduse în mărime integrală, fără a fi aplicate limitările menţionate la art. 36, alin. (1) al Codului fiscal. Nu ar fi corect din perspectiva politicii fiscale ca agenţii economici să suportate cheltuieli privind impozitul pe venit dacă efectuează donaţii în folosul autorităţilor şi instituţiilor publice peste limitele stabilite de legislaţie.</w:t>
            </w:r>
          </w:p>
        </w:tc>
        <w:tc>
          <w:tcPr>
            <w:tcW w:w="1700" w:type="dxa"/>
          </w:tcPr>
          <w:p w:rsidR="00C4512C" w:rsidRPr="001B7CE6" w:rsidRDefault="00C4512C">
            <w:pPr>
              <w:spacing w:after="200" w:line="276" w:lineRule="auto"/>
              <w:rPr>
                <w:rFonts w:ascii="Georgia" w:hAnsi="Georgia" w:cs="Arial"/>
                <w:sz w:val="20"/>
                <w:szCs w:val="20"/>
                <w:lang w:val="ro-RO"/>
              </w:rPr>
            </w:pPr>
          </w:p>
        </w:tc>
      </w:tr>
      <w:tr w:rsidR="00AA5D36" w:rsidRPr="007C528A" w:rsidTr="00AA5D36">
        <w:tc>
          <w:tcPr>
            <w:tcW w:w="1951" w:type="dxa"/>
          </w:tcPr>
          <w:p w:rsidR="00C67811" w:rsidRPr="001B7CE6" w:rsidRDefault="0031153D">
            <w:pPr>
              <w:spacing w:after="200" w:line="276" w:lineRule="auto"/>
              <w:rPr>
                <w:rFonts w:ascii="Georgia" w:hAnsi="Georgia" w:cs="Arial"/>
                <w:sz w:val="20"/>
                <w:szCs w:val="20"/>
                <w:lang w:val="ro-RO"/>
              </w:rPr>
            </w:pPr>
            <w:r w:rsidRPr="001B7CE6">
              <w:rPr>
                <w:rFonts w:ascii="Georgia" w:hAnsi="Georgia" w:cs="Arial"/>
                <w:sz w:val="20"/>
                <w:szCs w:val="20"/>
                <w:lang w:val="ro-RO"/>
              </w:rPr>
              <w:lastRenderedPageBreak/>
              <w:t>Codul Fiscal</w:t>
            </w:r>
          </w:p>
        </w:tc>
        <w:tc>
          <w:tcPr>
            <w:tcW w:w="2835" w:type="dxa"/>
          </w:tcPr>
          <w:p w:rsidR="00C67811" w:rsidRPr="001B7CE6" w:rsidRDefault="00241C24">
            <w:pPr>
              <w:spacing w:after="200" w:line="276" w:lineRule="auto"/>
              <w:rPr>
                <w:rFonts w:ascii="Georgia" w:hAnsi="Georgia" w:cs="Arial"/>
                <w:sz w:val="20"/>
                <w:szCs w:val="20"/>
                <w:lang w:val="ro-RO"/>
              </w:rPr>
            </w:pPr>
            <w:r w:rsidRPr="001B7CE6">
              <w:rPr>
                <w:rFonts w:ascii="Georgia" w:hAnsi="Georgia" w:cs="Arial"/>
                <w:bCs/>
                <w:spacing w:val="-1"/>
                <w:sz w:val="20"/>
                <w:szCs w:val="20"/>
                <w:lang w:val="ro-RO"/>
              </w:rPr>
              <w:t>Introducerea în Codul Fiscal a principiului evitării dublei impuneri.</w:t>
            </w:r>
          </w:p>
        </w:tc>
        <w:tc>
          <w:tcPr>
            <w:tcW w:w="7655" w:type="dxa"/>
          </w:tcPr>
          <w:p w:rsidR="00C67811" w:rsidRPr="001B7CE6" w:rsidRDefault="00241C24" w:rsidP="00C67811">
            <w:pPr>
              <w:spacing w:after="200" w:line="276" w:lineRule="auto"/>
              <w:rPr>
                <w:rFonts w:ascii="Georgia" w:hAnsi="Georgia"/>
                <w:sz w:val="20"/>
                <w:szCs w:val="20"/>
                <w:lang w:val="ro-RO"/>
              </w:rPr>
            </w:pPr>
            <w:r w:rsidRPr="001B7CE6">
              <w:rPr>
                <w:rFonts w:ascii="Georgia" w:hAnsi="Georgia" w:cs="Arial"/>
                <w:sz w:val="20"/>
                <w:szCs w:val="20"/>
                <w:lang w:val="ro-RO"/>
              </w:rPr>
              <w:t>Susţinem importanţa introducerii în Codul Fiscal a principiului evitării duble</w:t>
            </w:r>
            <w:r w:rsidR="0035316E">
              <w:rPr>
                <w:rFonts w:ascii="Georgia" w:hAnsi="Georgia"/>
                <w:sz w:val="20"/>
                <w:szCs w:val="20"/>
                <w:lang w:val="ro-RO"/>
              </w:rPr>
              <w:t>i impuneri, prevăzut de Concepţia reformei fiscale care a stat la baza implementării în Moldova a Codului fiscal în anul 1997 (punctul 4.2, litera b) din Hotărârea Parlamentului nr. 1165 din 24 aprilie 1997 cu privire la Concepţia reformei fiscale).</w:t>
            </w:r>
          </w:p>
          <w:p w:rsidR="00C67811" w:rsidRPr="001B7CE6" w:rsidRDefault="0035316E" w:rsidP="00C67811">
            <w:pPr>
              <w:spacing w:after="200" w:line="276" w:lineRule="auto"/>
              <w:rPr>
                <w:rFonts w:ascii="Georgia" w:hAnsi="Georgia"/>
                <w:sz w:val="20"/>
                <w:szCs w:val="20"/>
                <w:lang w:val="ro-RO"/>
              </w:rPr>
            </w:pPr>
            <w:r>
              <w:rPr>
                <w:rFonts w:ascii="Georgia" w:hAnsi="Georgia"/>
                <w:sz w:val="20"/>
                <w:szCs w:val="20"/>
                <w:lang w:val="ro-RO"/>
              </w:rPr>
              <w:t>Implementarea acestui principiu ar exclude anumite situaţii de dublă impozitare existente la moment în activitatea contribuabililor.</w:t>
            </w:r>
          </w:p>
          <w:p w:rsidR="00C67811" w:rsidRPr="001B7CE6" w:rsidRDefault="0035316E" w:rsidP="00C67811">
            <w:pPr>
              <w:spacing w:after="200" w:line="276" w:lineRule="auto"/>
              <w:rPr>
                <w:rFonts w:ascii="Georgia" w:hAnsi="Georgia"/>
                <w:sz w:val="20"/>
                <w:szCs w:val="20"/>
                <w:lang w:val="ro-RO"/>
              </w:rPr>
            </w:pPr>
            <w:r>
              <w:rPr>
                <w:rFonts w:ascii="Georgia" w:hAnsi="Georgia"/>
                <w:sz w:val="20"/>
                <w:szCs w:val="20"/>
                <w:lang w:val="ro-RO"/>
              </w:rPr>
              <w:t xml:space="preserve">Ca şi exemple în acest sens pot fi mijloacele fixe obţinute cu titlu gratuit care sunt incluse în venitul agentului economic donator  la momentul donării, iar ulterior uzura acestor mijloace fixe nu este deductibilă pentru scopuri fiscale la nivel de beneficiar. </w:t>
            </w:r>
          </w:p>
          <w:p w:rsidR="00E74874" w:rsidRPr="001B7CE6" w:rsidRDefault="0035316E" w:rsidP="0096622A">
            <w:pPr>
              <w:spacing w:after="200" w:line="276" w:lineRule="auto"/>
              <w:rPr>
                <w:rFonts w:ascii="Georgia" w:hAnsi="Georgia"/>
                <w:sz w:val="20"/>
                <w:szCs w:val="20"/>
                <w:lang w:val="ro-RO"/>
              </w:rPr>
            </w:pPr>
            <w:r>
              <w:rPr>
                <w:rFonts w:ascii="Georgia" w:hAnsi="Georgia"/>
                <w:sz w:val="20"/>
                <w:szCs w:val="20"/>
                <w:lang w:val="ro-RO"/>
              </w:rPr>
              <w:t xml:space="preserve">Un alt exemplu pot fi </w:t>
            </w:r>
            <w:r>
              <w:rPr>
                <w:rFonts w:ascii="Georgia" w:hAnsi="Georgia" w:cs="Arial"/>
                <w:sz w:val="20"/>
                <w:szCs w:val="20"/>
                <w:lang w:val="ro-RO"/>
              </w:rPr>
              <w:t xml:space="preserve">facilităţile acordate de patron (inclusiv a taxelor şi plăţilor obligatorii în bugetul public naţional aferente unor astfel de plăţi) care sunt </w:t>
            </w:r>
            <w:r>
              <w:rPr>
                <w:rFonts w:ascii="Georgia" w:hAnsi="Georgia" w:cs="Arial"/>
                <w:sz w:val="20"/>
                <w:szCs w:val="20"/>
                <w:lang w:val="ro-RO"/>
              </w:rPr>
              <w:lastRenderedPageBreak/>
              <w:t>nedeductibile pentru scopul impozitului pe venit din activitatea de întreprinzător şi sunt impozabile la nivel de salariaţi.</w:t>
            </w:r>
          </w:p>
        </w:tc>
        <w:tc>
          <w:tcPr>
            <w:tcW w:w="1700" w:type="dxa"/>
          </w:tcPr>
          <w:p w:rsidR="00C67811" w:rsidRPr="001B7CE6" w:rsidRDefault="00C67811">
            <w:pPr>
              <w:spacing w:after="200" w:line="276" w:lineRule="auto"/>
              <w:rPr>
                <w:rFonts w:ascii="Georgia" w:hAnsi="Georgia"/>
                <w:sz w:val="20"/>
                <w:szCs w:val="20"/>
                <w:lang w:val="ro-RO"/>
              </w:rPr>
            </w:pPr>
          </w:p>
        </w:tc>
      </w:tr>
      <w:tr w:rsidR="00AA5D36" w:rsidRPr="007C528A" w:rsidTr="00AA5D36">
        <w:tc>
          <w:tcPr>
            <w:tcW w:w="1951" w:type="dxa"/>
          </w:tcPr>
          <w:p w:rsidR="00C67811" w:rsidRPr="001B7CE6" w:rsidRDefault="007E43E0">
            <w:pPr>
              <w:rPr>
                <w:rFonts w:ascii="Georgia" w:hAnsi="Georgia"/>
                <w:sz w:val="20"/>
                <w:szCs w:val="20"/>
                <w:lang w:val="ro-RO"/>
              </w:rPr>
            </w:pPr>
            <w:r w:rsidRPr="001B7CE6">
              <w:rPr>
                <w:rFonts w:ascii="Georgia" w:hAnsi="Georgia"/>
                <w:sz w:val="20"/>
                <w:szCs w:val="20"/>
                <w:lang w:val="ro-RO"/>
              </w:rPr>
              <w:lastRenderedPageBreak/>
              <w:t>Codul Fiscal</w:t>
            </w:r>
          </w:p>
        </w:tc>
        <w:tc>
          <w:tcPr>
            <w:tcW w:w="2835" w:type="dxa"/>
          </w:tcPr>
          <w:p w:rsidR="00C67811" w:rsidRPr="001B7CE6" w:rsidRDefault="00E03B28" w:rsidP="00E03B28">
            <w:pPr>
              <w:spacing w:after="200" w:line="276" w:lineRule="auto"/>
              <w:rPr>
                <w:rFonts w:ascii="Georgia" w:hAnsi="Georgia"/>
                <w:sz w:val="20"/>
                <w:szCs w:val="20"/>
                <w:lang w:val="ro-RO"/>
              </w:rPr>
            </w:pPr>
            <w:r w:rsidRPr="001B7CE6">
              <w:rPr>
                <w:rFonts w:ascii="Georgia" w:hAnsi="Georgia" w:cs="Arial"/>
                <w:sz w:val="20"/>
                <w:szCs w:val="20"/>
                <w:lang w:val="ro-RO"/>
              </w:rPr>
              <w:t>Tratamentul</w:t>
            </w:r>
            <w:r w:rsidR="00C67811" w:rsidRPr="001B7CE6">
              <w:rPr>
                <w:rFonts w:ascii="Georgia" w:hAnsi="Georgia" w:cs="Arial"/>
                <w:sz w:val="20"/>
                <w:szCs w:val="20"/>
                <w:lang w:val="ro-RO"/>
              </w:rPr>
              <w:t xml:space="preserve"> fiscal aferent diferenţelor obţinute la trecerea de la SNC la SIRF</w:t>
            </w:r>
            <w:r w:rsidRPr="001B7CE6">
              <w:rPr>
                <w:rFonts w:ascii="Georgia" w:hAnsi="Georgia" w:cs="Arial"/>
                <w:sz w:val="20"/>
                <w:szCs w:val="20"/>
                <w:lang w:val="ro-RO"/>
              </w:rPr>
              <w:t xml:space="preserve">, </w:t>
            </w:r>
            <w:r w:rsidR="0035316E">
              <w:rPr>
                <w:rFonts w:ascii="Georgia" w:hAnsi="Georgia" w:cs="Arial"/>
                <w:sz w:val="20"/>
                <w:szCs w:val="20"/>
                <w:lang w:val="ro-RO"/>
              </w:rPr>
              <w:t>precum şi a cheltuielilor şi veniturilor înregistrate după trecerea la SIRF</w:t>
            </w:r>
          </w:p>
        </w:tc>
        <w:tc>
          <w:tcPr>
            <w:tcW w:w="7655" w:type="dxa"/>
          </w:tcPr>
          <w:p w:rsidR="001B7CE6" w:rsidRPr="001B7CE6" w:rsidRDefault="0035316E" w:rsidP="00435D66">
            <w:pPr>
              <w:spacing w:after="200" w:line="276" w:lineRule="auto"/>
              <w:rPr>
                <w:rFonts w:ascii="Georgia" w:hAnsi="Georgia"/>
                <w:sz w:val="20"/>
                <w:szCs w:val="20"/>
                <w:lang w:val="ro-RO"/>
              </w:rPr>
            </w:pPr>
            <w:r>
              <w:rPr>
                <w:rFonts w:ascii="Georgia" w:hAnsi="Georgia"/>
                <w:sz w:val="20"/>
                <w:szCs w:val="20"/>
                <w:lang w:val="ro-RO"/>
              </w:rPr>
              <w:t>Potrivit Ordinului Ministerului Finanţelor nr 28 din 13 iulie 2012 a fost creat un grup de lucru în scopul elaborării modificărilor la Codul fiscal în partea ce tine de reglementarea regimului fiscal aferent diferenţelor obţinute la trecerea de la SNC la SIRF</w:t>
            </w:r>
            <w:r>
              <w:rPr>
                <w:rFonts w:ascii="Georgia" w:hAnsi="Georgia" w:cs="Arial"/>
                <w:sz w:val="20"/>
                <w:szCs w:val="20"/>
                <w:lang w:val="ro-RO"/>
              </w:rPr>
              <w:t>, precum şi a cheltuielilor şi veniturilor înregistrate după trecerea la SIRF</w:t>
            </w:r>
            <w:r w:rsidR="004D6EFA">
              <w:rPr>
                <w:rFonts w:ascii="Georgia" w:hAnsi="Georgia" w:cs="Arial"/>
                <w:sz w:val="20"/>
                <w:szCs w:val="20"/>
                <w:lang w:val="ro-RO"/>
              </w:rPr>
              <w:t>, în special ce ţine de</w:t>
            </w:r>
            <w:r>
              <w:rPr>
                <w:rFonts w:ascii="Georgia" w:hAnsi="Georgia"/>
                <w:sz w:val="20"/>
                <w:szCs w:val="20"/>
                <w:lang w:val="ro-RO"/>
              </w:rPr>
              <w:t>:</w:t>
            </w:r>
          </w:p>
          <w:p w:rsidR="00111A27" w:rsidRDefault="007A38C1">
            <w:pPr>
              <w:pStyle w:val="ListParagraph"/>
              <w:numPr>
                <w:ilvl w:val="0"/>
                <w:numId w:val="10"/>
              </w:numPr>
              <w:spacing w:after="120" w:line="240" w:lineRule="auto"/>
              <w:jc w:val="both"/>
              <w:rPr>
                <w:lang w:val="ro-RO"/>
              </w:rPr>
            </w:pPr>
            <w:r w:rsidRPr="007A38C1">
              <w:rPr>
                <w:lang w:val="ro-RO"/>
              </w:rPr>
              <w:t xml:space="preserve">Modul de calcul a venitului aferent comisioanelor la credite si </w:t>
            </w:r>
            <w:r w:rsidR="001B7CE6" w:rsidRPr="001B7CE6">
              <w:rPr>
                <w:lang w:val="ro-RO"/>
              </w:rPr>
              <w:t>împrumuturi</w:t>
            </w:r>
            <w:r w:rsidRPr="007A38C1">
              <w:rPr>
                <w:lang w:val="ro-RO"/>
              </w:rPr>
              <w:t xml:space="preserve"> (ce </w:t>
            </w:r>
            <w:r w:rsidR="001B7CE6" w:rsidRPr="001B7CE6">
              <w:rPr>
                <w:lang w:val="ro-RO"/>
              </w:rPr>
              <w:t>urmează</w:t>
            </w:r>
            <w:r w:rsidRPr="007A38C1">
              <w:rPr>
                <w:lang w:val="ro-RO"/>
              </w:rPr>
              <w:t xml:space="preserve"> </w:t>
            </w:r>
            <w:r w:rsidR="001B7CE6">
              <w:rPr>
                <w:lang w:val="ro-RO"/>
              </w:rPr>
              <w:t>a fi amortizate pe durata de acţ</w:t>
            </w:r>
            <w:r w:rsidRPr="007A38C1">
              <w:rPr>
                <w:lang w:val="ro-RO"/>
              </w:rPr>
              <w:t>iune a contractului de credit (</w:t>
            </w:r>
            <w:r w:rsidR="001B7CE6" w:rsidRPr="001B7CE6">
              <w:rPr>
                <w:lang w:val="ro-RO"/>
              </w:rPr>
              <w:t>împrumut</w:t>
            </w:r>
            <w:r w:rsidRPr="007A38C1">
              <w:rPr>
                <w:lang w:val="ro-RO"/>
              </w:rPr>
              <w:t>)).</w:t>
            </w:r>
          </w:p>
          <w:p w:rsidR="00111A27" w:rsidRDefault="001B7CE6">
            <w:pPr>
              <w:pStyle w:val="ListParagraph"/>
              <w:numPr>
                <w:ilvl w:val="0"/>
                <w:numId w:val="10"/>
              </w:numPr>
              <w:spacing w:after="120" w:line="240" w:lineRule="auto"/>
              <w:contextualSpacing w:val="0"/>
              <w:jc w:val="both"/>
              <w:rPr>
                <w:lang w:val="ro-RO"/>
              </w:rPr>
            </w:pPr>
            <w:r w:rsidRPr="001B7CE6">
              <w:rPr>
                <w:lang w:val="ro-RO"/>
              </w:rPr>
              <w:t>Dobânzile</w:t>
            </w:r>
            <w:r w:rsidR="007A38C1" w:rsidRPr="007A38C1">
              <w:rPr>
                <w:lang w:val="ro-RO"/>
              </w:rPr>
              <w:t xml:space="preserve"> la creditele trecute in stare </w:t>
            </w:r>
            <w:r w:rsidR="004D6EFA">
              <w:rPr>
                <w:lang w:val="ro-RO"/>
              </w:rPr>
              <w:t>de neacumulare î</w:t>
            </w:r>
            <w:r>
              <w:rPr>
                <w:lang w:val="ro-RO"/>
              </w:rPr>
              <w:t>n anii precedenţi si ridicate in bilanţ</w:t>
            </w:r>
            <w:r w:rsidR="007A38C1" w:rsidRPr="007A38C1">
              <w:rPr>
                <w:lang w:val="ro-RO"/>
              </w:rPr>
              <w:t xml:space="preserve"> la trecerea la IFRS.</w:t>
            </w:r>
          </w:p>
          <w:p w:rsidR="001B7CE6" w:rsidRPr="001B7CE6" w:rsidRDefault="001B7CE6" w:rsidP="001B7CE6">
            <w:pPr>
              <w:pStyle w:val="ListParagraph"/>
              <w:numPr>
                <w:ilvl w:val="0"/>
                <w:numId w:val="10"/>
              </w:numPr>
              <w:spacing w:after="120" w:line="240" w:lineRule="auto"/>
              <w:contextualSpacing w:val="0"/>
              <w:jc w:val="both"/>
              <w:rPr>
                <w:lang w:val="ro-RO"/>
              </w:rPr>
            </w:pPr>
            <w:r>
              <w:rPr>
                <w:lang w:val="ro-RO"/>
              </w:rPr>
              <w:t>Diferenţ</w:t>
            </w:r>
            <w:r w:rsidR="007A38C1" w:rsidRPr="007A38C1">
              <w:rPr>
                <w:lang w:val="ro-RO"/>
              </w:rPr>
              <w:t xml:space="preserve">a dintre reducerile la pierderi la credite si alte active, calculate conform </w:t>
            </w:r>
            <w:r>
              <w:rPr>
                <w:lang w:val="ro-RO"/>
              </w:rPr>
              <w:t>reglementă</w:t>
            </w:r>
            <w:r w:rsidRPr="001B7CE6">
              <w:rPr>
                <w:lang w:val="ro-RO"/>
              </w:rPr>
              <w:t>rilor</w:t>
            </w:r>
            <w:r w:rsidR="007A38C1" w:rsidRPr="007A38C1">
              <w:rPr>
                <w:lang w:val="ro-RO"/>
              </w:rPr>
              <w:t xml:space="preserve"> BNM, si depr</w:t>
            </w:r>
            <w:r>
              <w:rPr>
                <w:lang w:val="ro-RO"/>
              </w:rPr>
              <w:t>ecierea calculata conform cerinţ</w:t>
            </w:r>
            <w:r w:rsidR="007A38C1" w:rsidRPr="007A38C1">
              <w:rPr>
                <w:lang w:val="ro-RO"/>
              </w:rPr>
              <w:t>elor IFRS este destul de considerabila.</w:t>
            </w:r>
          </w:p>
          <w:p w:rsidR="001B7CE6" w:rsidRPr="001B7CE6" w:rsidRDefault="007A38C1" w:rsidP="001B7CE6">
            <w:pPr>
              <w:pStyle w:val="ListParagraph"/>
              <w:numPr>
                <w:ilvl w:val="0"/>
                <w:numId w:val="10"/>
              </w:numPr>
              <w:spacing w:after="120" w:line="240" w:lineRule="auto"/>
              <w:contextualSpacing w:val="0"/>
              <w:jc w:val="both"/>
              <w:rPr>
                <w:lang w:val="ro-RO"/>
              </w:rPr>
            </w:pPr>
            <w:r>
              <w:rPr>
                <w:lang w:val="ro-RO"/>
              </w:rPr>
              <w:t>Eviden</w:t>
            </w:r>
            <w:r w:rsidR="004D6EFA">
              <w:rPr>
                <w:lang w:val="ro-RO"/>
              </w:rPr>
              <w:t>ţ</w:t>
            </w:r>
            <w:r w:rsidRPr="007A38C1">
              <w:rPr>
                <w:lang w:val="ro-RO"/>
              </w:rPr>
              <w:t xml:space="preserve">a </w:t>
            </w:r>
            <w:r w:rsidR="001B7CE6" w:rsidRPr="001B7CE6">
              <w:rPr>
                <w:lang w:val="ro-RO"/>
              </w:rPr>
              <w:t>imobilizărilor</w:t>
            </w:r>
            <w:r w:rsidRPr="007A38C1">
              <w:rPr>
                <w:lang w:val="ro-RO"/>
              </w:rPr>
              <w:t xml:space="preserve"> corporale</w:t>
            </w:r>
          </w:p>
          <w:p w:rsidR="001B7CE6" w:rsidRPr="001B7CE6" w:rsidRDefault="001B7CE6" w:rsidP="001B7CE6">
            <w:pPr>
              <w:pStyle w:val="ListParagraph"/>
              <w:numPr>
                <w:ilvl w:val="0"/>
                <w:numId w:val="10"/>
              </w:numPr>
              <w:spacing w:after="120" w:line="240" w:lineRule="auto"/>
              <w:contextualSpacing w:val="0"/>
              <w:jc w:val="both"/>
              <w:rPr>
                <w:lang w:val="ro-RO"/>
              </w:rPr>
            </w:pPr>
            <w:r>
              <w:rPr>
                <w:lang w:val="ro-RO"/>
              </w:rPr>
              <w:t>Diferenţ</w:t>
            </w:r>
            <w:r w:rsidR="007A38C1" w:rsidRPr="007A38C1">
              <w:rPr>
                <w:lang w:val="ro-RO"/>
              </w:rPr>
              <w:t xml:space="preserve">e din reevaluarea altor active (art.20 z10 si 24 (18)) pentru instrumentele financiare </w:t>
            </w:r>
            <w:r w:rsidR="004D6EFA">
              <w:rPr>
                <w:lang w:val="ro-RO"/>
              </w:rPr>
              <w:t>ţ</w:t>
            </w:r>
            <w:r w:rsidR="007A38C1">
              <w:rPr>
                <w:lang w:val="ro-RO"/>
              </w:rPr>
              <w:t>inute</w:t>
            </w:r>
            <w:r w:rsidR="007A38C1" w:rsidRPr="007A38C1">
              <w:rPr>
                <w:lang w:val="ro-RO"/>
              </w:rPr>
              <w:t xml:space="preserve"> la valoarea justa prin contul de profit si pierderi</w:t>
            </w:r>
            <w:r w:rsidR="004D6EFA">
              <w:rPr>
                <w:lang w:val="ro-RO"/>
              </w:rPr>
              <w:t>, etc.</w:t>
            </w:r>
          </w:p>
          <w:p w:rsidR="00E74874" w:rsidRPr="001B7CE6" w:rsidRDefault="00E03B28" w:rsidP="0096622A">
            <w:pPr>
              <w:spacing w:after="200" w:line="276" w:lineRule="auto"/>
              <w:rPr>
                <w:rFonts w:ascii="Georgia" w:hAnsi="Georgia"/>
                <w:sz w:val="20"/>
                <w:szCs w:val="20"/>
                <w:lang w:val="ro-RO"/>
              </w:rPr>
            </w:pPr>
            <w:r w:rsidRPr="001B7CE6">
              <w:rPr>
                <w:rFonts w:ascii="Georgia" w:hAnsi="Georgia"/>
                <w:sz w:val="20"/>
                <w:szCs w:val="20"/>
                <w:lang w:val="ro-RO"/>
              </w:rPr>
              <w:t>Întrucât perioada fiscală 2012 a fost închisă deja, r</w:t>
            </w:r>
            <w:r w:rsidR="00C67811" w:rsidRPr="001B7CE6">
              <w:rPr>
                <w:rFonts w:ascii="Georgia" w:hAnsi="Georgia"/>
                <w:sz w:val="20"/>
                <w:szCs w:val="20"/>
                <w:lang w:val="ro-RO"/>
              </w:rPr>
              <w:t>ecomandăm revizuirea rezultatelor acestui grup de lucru şi operarea în regim de urgenţă a modificărilor corespunzătoare în Codul fiscal.</w:t>
            </w:r>
            <w:r w:rsidR="0035316E">
              <w:rPr>
                <w:rFonts w:ascii="Georgia" w:hAnsi="Georgia"/>
                <w:sz w:val="20"/>
                <w:szCs w:val="20"/>
                <w:lang w:val="ro-RO"/>
              </w:rPr>
              <w:t xml:space="preserve"> </w:t>
            </w:r>
          </w:p>
        </w:tc>
        <w:tc>
          <w:tcPr>
            <w:tcW w:w="1700" w:type="dxa"/>
          </w:tcPr>
          <w:p w:rsidR="00C67811" w:rsidRPr="001B7CE6" w:rsidRDefault="00C67811">
            <w:pPr>
              <w:spacing w:after="200" w:line="276" w:lineRule="auto"/>
              <w:rPr>
                <w:rFonts w:ascii="Georgia" w:hAnsi="Georgia"/>
                <w:sz w:val="20"/>
                <w:szCs w:val="20"/>
                <w:lang w:val="ro-RO"/>
              </w:rPr>
            </w:pPr>
          </w:p>
        </w:tc>
      </w:tr>
      <w:tr w:rsidR="00AA5D36" w:rsidRPr="007C528A" w:rsidTr="00AA5D36">
        <w:tc>
          <w:tcPr>
            <w:tcW w:w="1951" w:type="dxa"/>
          </w:tcPr>
          <w:p w:rsidR="00C67811" w:rsidRPr="001B7CE6" w:rsidRDefault="0031153D">
            <w:pPr>
              <w:spacing w:after="200" w:line="276" w:lineRule="auto"/>
              <w:rPr>
                <w:rFonts w:ascii="Georgia" w:hAnsi="Georgia"/>
                <w:sz w:val="20"/>
                <w:szCs w:val="20"/>
                <w:lang w:val="ro-RO"/>
              </w:rPr>
            </w:pPr>
            <w:r w:rsidRPr="001B7CE6">
              <w:rPr>
                <w:rFonts w:ascii="Georgia" w:hAnsi="Georgia"/>
                <w:sz w:val="20"/>
                <w:szCs w:val="20"/>
                <w:lang w:val="ro-RO"/>
              </w:rPr>
              <w:t>Art. 101</w:t>
            </w:r>
            <w:r w:rsidRPr="001B7CE6">
              <w:rPr>
                <w:rFonts w:ascii="Georgia" w:hAnsi="Georgia"/>
                <w:sz w:val="20"/>
                <w:szCs w:val="20"/>
                <w:vertAlign w:val="superscript"/>
                <w:lang w:val="ro-RO"/>
              </w:rPr>
              <w:t>1</w:t>
            </w:r>
            <w:r w:rsidRPr="001B7CE6">
              <w:rPr>
                <w:rFonts w:ascii="Georgia" w:hAnsi="Georgia"/>
                <w:sz w:val="20"/>
                <w:szCs w:val="20"/>
                <w:lang w:val="ro-RO"/>
              </w:rPr>
              <w:t xml:space="preserve"> alin (2) al Codului fiscal</w:t>
            </w:r>
          </w:p>
        </w:tc>
        <w:tc>
          <w:tcPr>
            <w:tcW w:w="2835" w:type="dxa"/>
          </w:tcPr>
          <w:p w:rsidR="00C67811" w:rsidRPr="001B7CE6" w:rsidRDefault="00C67811" w:rsidP="00543D53">
            <w:pPr>
              <w:spacing w:after="200" w:line="276" w:lineRule="auto"/>
              <w:rPr>
                <w:rFonts w:ascii="Georgia" w:hAnsi="Georgia"/>
                <w:sz w:val="20"/>
                <w:szCs w:val="20"/>
                <w:lang w:val="ro-RO"/>
              </w:rPr>
            </w:pPr>
            <w:r w:rsidRPr="001B7CE6">
              <w:rPr>
                <w:rFonts w:ascii="Georgia" w:hAnsi="Georgia" w:cs="Helv"/>
                <w:color w:val="000000"/>
                <w:sz w:val="20"/>
                <w:szCs w:val="20"/>
                <w:lang w:val="ro-RO"/>
              </w:rPr>
              <w:t xml:space="preserve">Revizuirea </w:t>
            </w:r>
            <w:r w:rsidR="00543D53" w:rsidRPr="001B7CE6">
              <w:rPr>
                <w:rFonts w:ascii="Georgia" w:hAnsi="Georgia" w:cs="Helv"/>
                <w:color w:val="000000"/>
                <w:sz w:val="20"/>
                <w:szCs w:val="20"/>
                <w:lang w:val="ro-RO"/>
              </w:rPr>
              <w:t xml:space="preserve">termenului </w:t>
            </w:r>
            <w:r w:rsidRPr="001B7CE6">
              <w:rPr>
                <w:rFonts w:ascii="Georgia" w:hAnsi="Georgia" w:cs="Helv"/>
                <w:color w:val="000000"/>
                <w:sz w:val="20"/>
                <w:szCs w:val="20"/>
                <w:lang w:val="ro-RO"/>
              </w:rPr>
              <w:t xml:space="preserve">de restituire </w:t>
            </w:r>
            <w:r w:rsidR="00543D53" w:rsidRPr="001B7CE6">
              <w:rPr>
                <w:rFonts w:ascii="Georgia" w:hAnsi="Georgia" w:cs="Helv"/>
                <w:color w:val="000000"/>
                <w:sz w:val="20"/>
                <w:szCs w:val="20"/>
                <w:lang w:val="ro-RO"/>
              </w:rPr>
              <w:t xml:space="preserve">a </w:t>
            </w:r>
            <w:r w:rsidRPr="001B7CE6">
              <w:rPr>
                <w:rFonts w:ascii="Georgia" w:hAnsi="Georgia" w:cs="Helv"/>
                <w:color w:val="000000"/>
                <w:sz w:val="20"/>
                <w:szCs w:val="20"/>
                <w:lang w:val="ro-RO"/>
              </w:rPr>
              <w:t>TVA</w:t>
            </w:r>
            <w:r w:rsidR="00543D53" w:rsidRPr="001B7CE6">
              <w:rPr>
                <w:rFonts w:ascii="Georgia" w:hAnsi="Georgia" w:cs="Helv"/>
                <w:color w:val="000000"/>
                <w:sz w:val="20"/>
                <w:szCs w:val="20"/>
                <w:lang w:val="ro-RO"/>
              </w:rPr>
              <w:t xml:space="preserve"> la investiţii capitale</w:t>
            </w:r>
            <w:r w:rsidRPr="001B7CE6">
              <w:rPr>
                <w:rFonts w:ascii="Georgia" w:hAnsi="Georgia" w:cs="Helv"/>
                <w:color w:val="000000"/>
                <w:sz w:val="20"/>
                <w:szCs w:val="20"/>
                <w:lang w:val="ro-RO"/>
              </w:rPr>
              <w:t>.</w:t>
            </w:r>
          </w:p>
        </w:tc>
        <w:tc>
          <w:tcPr>
            <w:tcW w:w="7655" w:type="dxa"/>
          </w:tcPr>
          <w:p w:rsidR="001D38F0" w:rsidRPr="001B7CE6" w:rsidRDefault="001D38F0" w:rsidP="001D38F0">
            <w:pPr>
              <w:pStyle w:val="ListParagraph"/>
              <w:autoSpaceDE w:val="0"/>
              <w:autoSpaceDN w:val="0"/>
              <w:adjustRightInd w:val="0"/>
              <w:spacing w:after="0" w:line="240" w:lineRule="auto"/>
              <w:ind w:left="0"/>
              <w:rPr>
                <w:rFonts w:cs="Helv"/>
                <w:color w:val="000000"/>
                <w:lang w:val="ro-RO"/>
              </w:rPr>
            </w:pPr>
            <w:r w:rsidRPr="001B7CE6">
              <w:rPr>
                <w:rFonts w:cs="Helv"/>
                <w:color w:val="000000"/>
                <w:lang w:val="ro-RO"/>
              </w:rPr>
              <w:t>Legislaţia fiscală conţine norme contradictorii în ce priveşte termenul de restituire a TVA la investiţii capitale.</w:t>
            </w:r>
          </w:p>
          <w:p w:rsidR="001D38F0" w:rsidRPr="001B7CE6" w:rsidRDefault="001D38F0" w:rsidP="00C67811">
            <w:pPr>
              <w:pStyle w:val="ListParagraph"/>
              <w:autoSpaceDE w:val="0"/>
              <w:autoSpaceDN w:val="0"/>
              <w:adjustRightInd w:val="0"/>
              <w:spacing w:after="0" w:line="240" w:lineRule="auto"/>
              <w:ind w:left="0"/>
              <w:rPr>
                <w:rFonts w:cs="Helv"/>
                <w:color w:val="000000"/>
                <w:lang w:val="ro-RO"/>
              </w:rPr>
            </w:pPr>
          </w:p>
          <w:p w:rsidR="00C67811" w:rsidRPr="001B7CE6" w:rsidRDefault="00C67811" w:rsidP="00C67811">
            <w:pPr>
              <w:pStyle w:val="ListParagraph"/>
              <w:autoSpaceDE w:val="0"/>
              <w:autoSpaceDN w:val="0"/>
              <w:adjustRightInd w:val="0"/>
              <w:spacing w:after="0" w:line="240" w:lineRule="auto"/>
              <w:ind w:left="0"/>
              <w:rPr>
                <w:rFonts w:cs="Helv"/>
                <w:color w:val="000000"/>
                <w:lang w:val="ro-RO"/>
              </w:rPr>
            </w:pPr>
            <w:r w:rsidRPr="001B7CE6">
              <w:rPr>
                <w:rFonts w:cs="Helv"/>
                <w:color w:val="000000"/>
                <w:lang w:val="ro-RO"/>
              </w:rPr>
              <w:t>Astfel, normele ce prevăd procedura de  restituire a TVA la investiţii capitale</w:t>
            </w:r>
            <w:r w:rsidR="0035316E">
              <w:rPr>
                <w:rStyle w:val="FootnoteReference"/>
                <w:rFonts w:cs="Helv"/>
                <w:lang w:val="ro-RO"/>
              </w:rPr>
              <w:footnoteReference w:id="9"/>
            </w:r>
            <w:r w:rsidR="007A38C1" w:rsidRPr="007A38C1">
              <w:rPr>
                <w:rFonts w:cs="Helv"/>
                <w:color w:val="000000"/>
                <w:lang w:val="ro-RO"/>
              </w:rPr>
              <w:t xml:space="preserve"> stabilesc că restituirea TVA se efectuează într-un termen ce nu depăşeşte trei perioade fiscale (adică trei luni) după perioada fiscală în care au fost efectuate aceste investiţii. </w:t>
            </w:r>
          </w:p>
          <w:p w:rsidR="00C67811" w:rsidRPr="001B7CE6" w:rsidRDefault="00C67811" w:rsidP="00C67811">
            <w:pPr>
              <w:pStyle w:val="ListParagraph"/>
              <w:autoSpaceDE w:val="0"/>
              <w:autoSpaceDN w:val="0"/>
              <w:adjustRightInd w:val="0"/>
              <w:spacing w:after="0" w:line="240" w:lineRule="auto"/>
              <w:ind w:left="0"/>
              <w:rPr>
                <w:rFonts w:cs="Helv"/>
                <w:color w:val="000000"/>
                <w:lang w:val="ro-RO"/>
              </w:rPr>
            </w:pPr>
          </w:p>
          <w:p w:rsidR="00C67811" w:rsidRPr="001B7CE6" w:rsidRDefault="007A38C1" w:rsidP="00C67811">
            <w:pPr>
              <w:pStyle w:val="ListParagraph"/>
              <w:autoSpaceDE w:val="0"/>
              <w:autoSpaceDN w:val="0"/>
              <w:adjustRightInd w:val="0"/>
              <w:spacing w:after="0" w:line="240" w:lineRule="auto"/>
              <w:ind w:left="0"/>
              <w:rPr>
                <w:rFonts w:cs="Helv"/>
                <w:color w:val="000000"/>
                <w:lang w:val="ro-RO"/>
              </w:rPr>
            </w:pPr>
            <w:r w:rsidRPr="007A38C1">
              <w:rPr>
                <w:rFonts w:cs="Helv"/>
                <w:color w:val="000000"/>
                <w:lang w:val="ro-RO"/>
              </w:rPr>
              <w:t>Totodată, termenul de prescripţie pentru restituirea sumelor care conform legislaţiei fiscale urmează a fi restituite este de şase ani din data apariţiei sumelor spre restituire</w:t>
            </w:r>
            <w:r w:rsidR="0035316E">
              <w:rPr>
                <w:rStyle w:val="FootnoteReference"/>
                <w:rFonts w:cs="Helv"/>
                <w:lang w:val="ro-RO"/>
              </w:rPr>
              <w:footnoteReference w:id="10"/>
            </w:r>
            <w:r w:rsidRPr="007A38C1">
              <w:rPr>
                <w:rFonts w:cs="Helv"/>
                <w:color w:val="000000"/>
                <w:lang w:val="ro-RO"/>
              </w:rPr>
              <w:t>.</w:t>
            </w:r>
          </w:p>
          <w:p w:rsidR="00C67811" w:rsidRPr="001B7CE6" w:rsidRDefault="00C67811" w:rsidP="00C67811">
            <w:pPr>
              <w:pStyle w:val="ListParagraph"/>
              <w:autoSpaceDE w:val="0"/>
              <w:autoSpaceDN w:val="0"/>
              <w:adjustRightInd w:val="0"/>
              <w:spacing w:after="0" w:line="240" w:lineRule="auto"/>
              <w:ind w:left="0"/>
              <w:rPr>
                <w:rFonts w:cs="Helv"/>
                <w:color w:val="000000"/>
                <w:lang w:val="ro-RO"/>
              </w:rPr>
            </w:pPr>
          </w:p>
          <w:p w:rsidR="00C67811" w:rsidRPr="001B7CE6" w:rsidRDefault="00C67811" w:rsidP="008C1B2C">
            <w:pPr>
              <w:pStyle w:val="ListParagraph"/>
              <w:autoSpaceDE w:val="0"/>
              <w:autoSpaceDN w:val="0"/>
              <w:adjustRightInd w:val="0"/>
              <w:spacing w:after="0" w:line="240" w:lineRule="auto"/>
              <w:ind w:left="0"/>
              <w:rPr>
                <w:lang w:val="ro-RO"/>
              </w:rPr>
            </w:pPr>
            <w:r w:rsidRPr="001B7CE6">
              <w:rPr>
                <w:rFonts w:cs="Helv"/>
                <w:color w:val="000000"/>
                <w:lang w:val="ro-RO"/>
              </w:rPr>
              <w:t>Recomandăm revizuirea legislaţiei fiscale în acest sens şi racordarea termenului de solicitare a restituirii TVA la termenul general de prescripţie pentru restituirea impozitelor.</w:t>
            </w:r>
          </w:p>
        </w:tc>
        <w:tc>
          <w:tcPr>
            <w:tcW w:w="1700" w:type="dxa"/>
          </w:tcPr>
          <w:p w:rsidR="00C67811" w:rsidRPr="001B7CE6" w:rsidRDefault="00C67811">
            <w:pPr>
              <w:spacing w:after="200" w:line="276" w:lineRule="auto"/>
              <w:rPr>
                <w:rFonts w:ascii="Georgia" w:hAnsi="Georgia"/>
                <w:sz w:val="20"/>
                <w:szCs w:val="20"/>
                <w:lang w:val="ro-RO"/>
              </w:rPr>
            </w:pPr>
          </w:p>
        </w:tc>
      </w:tr>
      <w:tr w:rsidR="00AA5D36" w:rsidRPr="007C528A" w:rsidTr="00AA5D36">
        <w:tc>
          <w:tcPr>
            <w:tcW w:w="1951" w:type="dxa"/>
          </w:tcPr>
          <w:p w:rsidR="00C67811" w:rsidRPr="001B7CE6" w:rsidRDefault="00230DAB">
            <w:pPr>
              <w:rPr>
                <w:rFonts w:ascii="Georgia" w:hAnsi="Georgia"/>
                <w:sz w:val="20"/>
                <w:szCs w:val="20"/>
                <w:lang w:val="ro-RO"/>
              </w:rPr>
            </w:pPr>
            <w:r w:rsidRPr="001B7CE6">
              <w:rPr>
                <w:rFonts w:ascii="Georgia" w:hAnsi="Georgia"/>
                <w:sz w:val="20"/>
                <w:szCs w:val="20"/>
                <w:lang w:val="ro-RO"/>
              </w:rPr>
              <w:lastRenderedPageBreak/>
              <w:t>Codul Fiscal</w:t>
            </w:r>
          </w:p>
        </w:tc>
        <w:tc>
          <w:tcPr>
            <w:tcW w:w="2835" w:type="dxa"/>
          </w:tcPr>
          <w:p w:rsidR="00C67811" w:rsidRPr="001B7CE6" w:rsidRDefault="00B8531D" w:rsidP="00FC2448">
            <w:pPr>
              <w:spacing w:after="200" w:line="276" w:lineRule="auto"/>
              <w:rPr>
                <w:rFonts w:ascii="Georgia" w:hAnsi="Georgia"/>
                <w:sz w:val="20"/>
                <w:szCs w:val="20"/>
                <w:lang w:val="ro-RO"/>
              </w:rPr>
            </w:pPr>
            <w:r w:rsidRPr="001B7CE6">
              <w:rPr>
                <w:rFonts w:ascii="Georgia" w:hAnsi="Georgia" w:cs="Helv"/>
                <w:color w:val="000000"/>
                <w:sz w:val="20"/>
                <w:szCs w:val="20"/>
                <w:lang w:val="ro-RO"/>
              </w:rPr>
              <w:t>Amendarea</w:t>
            </w:r>
            <w:r w:rsidR="00872F86" w:rsidRPr="001B7CE6">
              <w:rPr>
                <w:rFonts w:ascii="Georgia" w:hAnsi="Georgia" w:cs="Helv"/>
                <w:color w:val="000000"/>
                <w:sz w:val="20"/>
                <w:szCs w:val="20"/>
                <w:lang w:val="ro-RO"/>
              </w:rPr>
              <w:t xml:space="preserve"> legislaţia  </w:t>
            </w:r>
            <w:r w:rsidRPr="001B7CE6">
              <w:rPr>
                <w:rFonts w:ascii="Georgia" w:hAnsi="Georgia" w:cs="Helv"/>
                <w:color w:val="000000"/>
                <w:sz w:val="20"/>
                <w:szCs w:val="20"/>
                <w:lang w:val="ro-RO"/>
              </w:rPr>
              <w:t xml:space="preserve">fiscale </w:t>
            </w:r>
            <w:r w:rsidR="00872F86" w:rsidRPr="001B7CE6">
              <w:rPr>
                <w:rFonts w:ascii="Georgia" w:hAnsi="Georgia" w:cs="Helv"/>
                <w:color w:val="000000"/>
                <w:sz w:val="20"/>
                <w:szCs w:val="20"/>
                <w:lang w:val="ro-RO"/>
              </w:rPr>
              <w:t xml:space="preserve"> în aşa mod </w:t>
            </w:r>
            <w:r w:rsidR="008C1B2C" w:rsidRPr="001B7CE6">
              <w:rPr>
                <w:rFonts w:ascii="Georgia" w:hAnsi="Georgia" w:cs="Helv"/>
                <w:color w:val="000000"/>
                <w:sz w:val="20"/>
                <w:szCs w:val="20"/>
                <w:lang w:val="ro-RO"/>
              </w:rPr>
              <w:t>încât</w:t>
            </w:r>
            <w:r w:rsidR="00872F86" w:rsidRPr="001B7CE6">
              <w:rPr>
                <w:rFonts w:ascii="Georgia" w:hAnsi="Georgia" w:cs="Helv"/>
                <w:color w:val="000000"/>
                <w:sz w:val="20"/>
                <w:szCs w:val="20"/>
                <w:lang w:val="ro-RO"/>
              </w:rPr>
              <w:t xml:space="preserve"> să fie asigurat principiul indep</w:t>
            </w:r>
            <w:r w:rsidR="008C1B2C" w:rsidRPr="001B7CE6">
              <w:rPr>
                <w:rFonts w:ascii="Georgia" w:hAnsi="Georgia" w:cs="Helv"/>
                <w:color w:val="000000"/>
                <w:sz w:val="20"/>
                <w:szCs w:val="20"/>
                <w:lang w:val="ro-RO"/>
              </w:rPr>
              <w:t xml:space="preserve">endenţei funcţionarilor fiscali </w:t>
            </w:r>
            <w:r w:rsidR="007A38C1" w:rsidRPr="007A38C1">
              <w:rPr>
                <w:rFonts w:ascii="Georgia" w:hAnsi="Georgia" w:cs="Helv"/>
                <w:color w:val="000000"/>
                <w:sz w:val="20"/>
                <w:szCs w:val="20"/>
                <w:lang w:val="ro-RO"/>
              </w:rPr>
              <w:t>care analizează rezultatele controlului fiscal şi a contestărilor.</w:t>
            </w:r>
          </w:p>
        </w:tc>
        <w:tc>
          <w:tcPr>
            <w:tcW w:w="7655" w:type="dxa"/>
          </w:tcPr>
          <w:p w:rsidR="008C1B2C" w:rsidRPr="001B7CE6" w:rsidRDefault="007A38C1">
            <w:pPr>
              <w:spacing w:after="200" w:line="276" w:lineRule="auto"/>
              <w:rPr>
                <w:rFonts w:ascii="Georgia" w:hAnsi="Georgia" w:cs="Helv"/>
                <w:color w:val="000000"/>
                <w:sz w:val="20"/>
                <w:szCs w:val="20"/>
                <w:lang w:val="ro-RO"/>
              </w:rPr>
            </w:pPr>
            <w:r w:rsidRPr="007A38C1">
              <w:rPr>
                <w:rFonts w:ascii="Georgia" w:hAnsi="Georgia" w:cs="Helv"/>
                <w:color w:val="000000"/>
                <w:sz w:val="20"/>
                <w:szCs w:val="20"/>
                <w:lang w:val="ro-RO"/>
              </w:rPr>
              <w:t xml:space="preserve">În practică procedura de contestare a  decizie controlului fiscal, este examinată  de către aceeaşi persoană care a emis decizia  anterioară. </w:t>
            </w:r>
          </w:p>
          <w:p w:rsidR="00C67811" w:rsidRPr="001B7CE6" w:rsidRDefault="007A38C1" w:rsidP="0096622A">
            <w:pPr>
              <w:spacing w:after="200" w:line="276" w:lineRule="auto"/>
              <w:rPr>
                <w:rFonts w:ascii="Georgia" w:hAnsi="Georgia"/>
                <w:sz w:val="20"/>
                <w:szCs w:val="20"/>
                <w:lang w:val="ro-RO"/>
              </w:rPr>
            </w:pPr>
            <w:r w:rsidRPr="007A38C1">
              <w:rPr>
                <w:rFonts w:ascii="Georgia" w:hAnsi="Georgia" w:cs="Helv"/>
                <w:color w:val="000000"/>
                <w:sz w:val="20"/>
                <w:szCs w:val="20"/>
                <w:lang w:val="ro-RO"/>
              </w:rPr>
              <w:t>Din acest motiv recomandăm să se amendeze legislaţia fiscală  în aşa mod încât să fie asigurat principiul independenţei funcţionarilor fiscali ,care analizează rezultatele controlului fiscal şi a contestărilor.</w:t>
            </w:r>
          </w:p>
        </w:tc>
        <w:tc>
          <w:tcPr>
            <w:tcW w:w="1700" w:type="dxa"/>
          </w:tcPr>
          <w:p w:rsidR="00C67811" w:rsidRPr="001B7CE6" w:rsidRDefault="00C67811">
            <w:pPr>
              <w:spacing w:after="200" w:line="276" w:lineRule="auto"/>
              <w:rPr>
                <w:rFonts w:ascii="Georgia" w:hAnsi="Georgia"/>
                <w:sz w:val="20"/>
                <w:szCs w:val="20"/>
                <w:lang w:val="ro-RO"/>
              </w:rPr>
            </w:pPr>
          </w:p>
        </w:tc>
      </w:tr>
      <w:tr w:rsidR="00E74874" w:rsidRPr="001B7CE6" w:rsidTr="00AA5D36">
        <w:tc>
          <w:tcPr>
            <w:tcW w:w="1951" w:type="dxa"/>
          </w:tcPr>
          <w:p w:rsidR="00E74874" w:rsidRPr="001B7CE6" w:rsidRDefault="004C7DBB">
            <w:pPr>
              <w:rPr>
                <w:rFonts w:ascii="Georgia" w:hAnsi="Georgia"/>
                <w:sz w:val="20"/>
                <w:szCs w:val="20"/>
                <w:lang w:val="ro-RO"/>
              </w:rPr>
            </w:pPr>
            <w:r w:rsidRPr="001B7CE6">
              <w:rPr>
                <w:rFonts w:ascii="Georgia" w:hAnsi="Georgia"/>
                <w:sz w:val="20"/>
                <w:szCs w:val="20"/>
                <w:lang w:val="ro-RO"/>
              </w:rPr>
              <w:t>Codul Fical</w:t>
            </w:r>
          </w:p>
        </w:tc>
        <w:tc>
          <w:tcPr>
            <w:tcW w:w="2835" w:type="dxa"/>
          </w:tcPr>
          <w:p w:rsidR="00111A27" w:rsidRDefault="007A38C1">
            <w:pPr>
              <w:pStyle w:val="ListParagraph"/>
              <w:numPr>
                <w:ilvl w:val="0"/>
                <w:numId w:val="8"/>
              </w:numPr>
              <w:spacing w:after="0" w:line="240" w:lineRule="auto"/>
              <w:ind w:left="317" w:hanging="261"/>
              <w:rPr>
                <w:rFonts w:cs="Helv"/>
                <w:color w:val="000000"/>
                <w:lang w:val="ro-RO"/>
              </w:rPr>
            </w:pPr>
            <w:r w:rsidRPr="007A38C1">
              <w:rPr>
                <w:rFonts w:cs="Helv"/>
                <w:color w:val="000000"/>
                <w:lang w:val="ro-RO"/>
              </w:rPr>
              <w:t>Introducerea in Codul Fiscal a</w:t>
            </w:r>
            <w:r w:rsidR="004D6EFA">
              <w:rPr>
                <w:rFonts w:cs="Helv"/>
                <w:color w:val="000000"/>
                <w:lang w:val="ro-RO"/>
              </w:rPr>
              <w:t xml:space="preserve"> </w:t>
            </w:r>
            <w:r w:rsidRPr="007A38C1">
              <w:rPr>
                <w:rFonts w:cs="Helv"/>
                <w:color w:val="000000"/>
                <w:lang w:val="ro-RO"/>
              </w:rPr>
              <w:t>preveder</w:t>
            </w:r>
            <w:r w:rsidR="00BC13E8">
              <w:rPr>
                <w:rFonts w:cs="Helv"/>
                <w:color w:val="000000"/>
                <w:lang w:val="ro-RO"/>
              </w:rPr>
              <w:t>ilor</w:t>
            </w:r>
            <w:r w:rsidRPr="007A38C1">
              <w:rPr>
                <w:rFonts w:cs="Helv"/>
                <w:color w:val="000000"/>
                <w:lang w:val="ro-RO"/>
              </w:rPr>
              <w:t xml:space="preserve"> privind restituirea ambalajului returnabil</w:t>
            </w:r>
          </w:p>
          <w:p w:rsidR="00111A27" w:rsidRDefault="00111A27">
            <w:pPr>
              <w:pStyle w:val="ListParagraph"/>
              <w:spacing w:after="0" w:line="240" w:lineRule="auto"/>
              <w:ind w:left="317"/>
              <w:rPr>
                <w:rFonts w:cs="Helv"/>
                <w:color w:val="000000"/>
                <w:lang w:val="ro-RO"/>
              </w:rPr>
            </w:pPr>
          </w:p>
          <w:p w:rsidR="00111A27" w:rsidRDefault="00111A27">
            <w:pPr>
              <w:pStyle w:val="ListParagraph"/>
              <w:spacing w:after="0" w:line="240" w:lineRule="auto"/>
              <w:ind w:left="317"/>
              <w:rPr>
                <w:rFonts w:cs="Helv"/>
                <w:color w:val="000000"/>
                <w:lang w:val="ro-RO"/>
              </w:rPr>
            </w:pPr>
          </w:p>
          <w:p w:rsidR="00111A27" w:rsidRDefault="007A38C1">
            <w:pPr>
              <w:pStyle w:val="ListParagraph"/>
              <w:numPr>
                <w:ilvl w:val="0"/>
                <w:numId w:val="8"/>
              </w:numPr>
              <w:spacing w:after="0" w:line="240" w:lineRule="auto"/>
              <w:ind w:left="317" w:hanging="261"/>
              <w:rPr>
                <w:rFonts w:cs="Helv"/>
                <w:color w:val="000000"/>
                <w:lang w:val="ro-RO"/>
              </w:rPr>
            </w:pPr>
            <w:r w:rsidRPr="007A38C1">
              <w:rPr>
                <w:rFonts w:cs="Helv"/>
                <w:color w:val="000000"/>
                <w:lang w:val="ro-RO"/>
              </w:rPr>
              <w:t>Modificarea Legislaţiei fiscale privind utilizarea ma</w:t>
            </w:r>
            <w:r w:rsidR="001D46D1" w:rsidRPr="001B7CE6">
              <w:rPr>
                <w:rFonts w:cs="Helv"/>
                <w:color w:val="000000"/>
                <w:lang w:val="ro-RO"/>
              </w:rPr>
              <w:t>ş</w:t>
            </w:r>
            <w:r w:rsidRPr="007A38C1">
              <w:rPr>
                <w:rFonts w:cs="Helv"/>
                <w:color w:val="000000"/>
                <w:lang w:val="ro-RO"/>
              </w:rPr>
              <w:t xml:space="preserve">inilor de casa </w:t>
            </w:r>
            <w:r w:rsidR="001D46D1" w:rsidRPr="001B7CE6">
              <w:rPr>
                <w:rFonts w:cs="Helv"/>
                <w:color w:val="000000"/>
                <w:lang w:val="ro-RO"/>
              </w:rPr>
              <w:t>ş</w:t>
            </w:r>
            <w:r w:rsidRPr="007A38C1">
              <w:rPr>
                <w:rFonts w:cs="Helv"/>
                <w:color w:val="000000"/>
                <w:lang w:val="ro-RO"/>
              </w:rPr>
              <w:t>i control</w:t>
            </w:r>
          </w:p>
        </w:tc>
        <w:tc>
          <w:tcPr>
            <w:tcW w:w="7655" w:type="dxa"/>
          </w:tcPr>
          <w:p w:rsidR="00E74874" w:rsidRPr="001B7CE6" w:rsidRDefault="00BC13E8" w:rsidP="008001E1">
            <w:pPr>
              <w:rPr>
                <w:rFonts w:ascii="Georgia" w:hAnsi="Georgia" w:cs="Helv"/>
                <w:color w:val="000000"/>
                <w:sz w:val="20"/>
                <w:szCs w:val="20"/>
                <w:lang w:val="ro-RO"/>
              </w:rPr>
            </w:pPr>
            <w:r>
              <w:rPr>
                <w:rFonts w:ascii="Georgia" w:hAnsi="Georgia" w:cs="Helv"/>
                <w:color w:val="000000"/>
                <w:sz w:val="20"/>
                <w:szCs w:val="20"/>
                <w:lang w:val="ro-RO"/>
              </w:rPr>
              <w:t>Potrivit l</w:t>
            </w:r>
            <w:r w:rsidR="008001E1" w:rsidRPr="001B7CE6">
              <w:rPr>
                <w:rFonts w:ascii="Georgia" w:hAnsi="Georgia" w:cs="Helv"/>
                <w:color w:val="000000"/>
                <w:sz w:val="20"/>
                <w:szCs w:val="20"/>
                <w:lang w:val="ro-RO"/>
              </w:rPr>
              <w:t>egisla</w:t>
            </w:r>
            <w:r>
              <w:rPr>
                <w:rFonts w:ascii="Georgia" w:hAnsi="Georgia" w:cs="Helv"/>
                <w:color w:val="000000"/>
                <w:sz w:val="20"/>
                <w:szCs w:val="20"/>
                <w:lang w:val="ro-RO"/>
              </w:rPr>
              <w:t>ţ</w:t>
            </w:r>
            <w:r w:rsidR="008001E1" w:rsidRPr="001B7CE6">
              <w:rPr>
                <w:rFonts w:ascii="Georgia" w:hAnsi="Georgia" w:cs="Helv"/>
                <w:color w:val="000000"/>
                <w:sz w:val="20"/>
                <w:szCs w:val="20"/>
                <w:lang w:val="ro-RO"/>
              </w:rPr>
              <w:t xml:space="preserve">iei </w:t>
            </w:r>
            <w:r w:rsidR="004C7DBB" w:rsidRPr="001B7CE6">
              <w:rPr>
                <w:rFonts w:ascii="Georgia" w:hAnsi="Georgia" w:cs="Helv"/>
                <w:color w:val="000000"/>
                <w:sz w:val="20"/>
                <w:szCs w:val="20"/>
                <w:lang w:val="ro-RO"/>
              </w:rPr>
              <w:t>fiscale î</w:t>
            </w:r>
            <w:r w:rsidR="008001E1" w:rsidRPr="001B7CE6">
              <w:rPr>
                <w:rFonts w:ascii="Georgia" w:hAnsi="Georgia" w:cs="Helv"/>
                <w:color w:val="000000"/>
                <w:sz w:val="20"/>
                <w:szCs w:val="20"/>
                <w:lang w:val="ro-RO"/>
              </w:rPr>
              <w:t>n vigoare nu exist</w:t>
            </w:r>
            <w:r>
              <w:rPr>
                <w:rFonts w:ascii="Georgia" w:hAnsi="Georgia" w:cs="Helv"/>
                <w:color w:val="000000"/>
                <w:sz w:val="20"/>
                <w:szCs w:val="20"/>
                <w:lang w:val="ro-RO"/>
              </w:rPr>
              <w:t>ă</w:t>
            </w:r>
            <w:r w:rsidR="008001E1" w:rsidRPr="001B7CE6">
              <w:rPr>
                <w:rFonts w:ascii="Georgia" w:hAnsi="Georgia" w:cs="Helv"/>
                <w:color w:val="000000"/>
                <w:sz w:val="20"/>
                <w:szCs w:val="20"/>
                <w:lang w:val="ro-RO"/>
              </w:rPr>
              <w:t xml:space="preserve"> prevederi clare prin care v</w:t>
            </w:r>
            <w:r w:rsidR="007563E8" w:rsidRPr="001B7CE6">
              <w:rPr>
                <w:rFonts w:ascii="Georgia" w:hAnsi="Georgia" w:cs="Helv"/>
                <w:color w:val="000000"/>
                <w:sz w:val="20"/>
                <w:szCs w:val="20"/>
                <w:lang w:val="ro-RO"/>
              </w:rPr>
              <w:t>â</w:t>
            </w:r>
            <w:r w:rsidR="008001E1" w:rsidRPr="001B7CE6">
              <w:rPr>
                <w:rFonts w:ascii="Georgia" w:hAnsi="Georgia" w:cs="Helv"/>
                <w:color w:val="000000"/>
                <w:sz w:val="20"/>
                <w:szCs w:val="20"/>
                <w:lang w:val="ro-RO"/>
              </w:rPr>
              <w:t>nz</w:t>
            </w:r>
            <w:r w:rsidR="007563E8" w:rsidRPr="001B7CE6">
              <w:rPr>
                <w:rFonts w:ascii="Georgia" w:hAnsi="Georgia" w:cs="Helv"/>
                <w:color w:val="000000"/>
                <w:sz w:val="20"/>
                <w:szCs w:val="20"/>
                <w:lang w:val="ro-RO"/>
              </w:rPr>
              <w:t>ă</w:t>
            </w:r>
            <w:r w:rsidR="008001E1" w:rsidRPr="001B7CE6">
              <w:rPr>
                <w:rFonts w:ascii="Georgia" w:hAnsi="Georgia" w:cs="Helv"/>
                <w:color w:val="000000"/>
                <w:sz w:val="20"/>
                <w:szCs w:val="20"/>
                <w:lang w:val="ro-RO"/>
              </w:rPr>
              <w:t xml:space="preserve">torii de  bunuri </w:t>
            </w:r>
            <w:r>
              <w:rPr>
                <w:rFonts w:ascii="Georgia" w:hAnsi="Georgia" w:cs="Helv"/>
                <w:color w:val="000000"/>
                <w:sz w:val="20"/>
                <w:szCs w:val="20"/>
                <w:lang w:val="ro-RO"/>
              </w:rPr>
              <w:t>î</w:t>
            </w:r>
            <w:r w:rsidR="008001E1" w:rsidRPr="001B7CE6">
              <w:rPr>
                <w:rFonts w:ascii="Georgia" w:hAnsi="Georgia" w:cs="Helv"/>
                <w:color w:val="000000"/>
                <w:sz w:val="20"/>
                <w:szCs w:val="20"/>
                <w:lang w:val="ro-RO"/>
              </w:rPr>
              <w:t xml:space="preserve">n ambalaj returnabil ar putea </w:t>
            </w:r>
            <w:r>
              <w:rPr>
                <w:rFonts w:ascii="Georgia" w:hAnsi="Georgia" w:cs="Helv"/>
                <w:color w:val="000000"/>
                <w:sz w:val="20"/>
                <w:szCs w:val="20"/>
                <w:lang w:val="ro-RO"/>
              </w:rPr>
              <w:t>î</w:t>
            </w:r>
            <w:r w:rsidR="008001E1" w:rsidRPr="001B7CE6">
              <w:rPr>
                <w:rFonts w:ascii="Georgia" w:hAnsi="Georgia" w:cs="Helv"/>
                <w:color w:val="000000"/>
                <w:sz w:val="20"/>
                <w:szCs w:val="20"/>
                <w:lang w:val="ro-RO"/>
              </w:rPr>
              <w:t xml:space="preserve">ncasa de la consumatorul final un depozit (suma </w:t>
            </w:r>
            <w:r w:rsidR="007563E8" w:rsidRPr="001B7CE6">
              <w:rPr>
                <w:rFonts w:ascii="Georgia" w:hAnsi="Georgia" w:cs="Helv"/>
                <w:color w:val="000000"/>
                <w:sz w:val="20"/>
                <w:szCs w:val="20"/>
                <w:lang w:val="ro-RO"/>
              </w:rPr>
              <w:t xml:space="preserve">- </w:t>
            </w:r>
            <w:r w:rsidR="008001E1" w:rsidRPr="001B7CE6">
              <w:rPr>
                <w:rFonts w:ascii="Georgia" w:hAnsi="Georgia" w:cs="Helv"/>
                <w:color w:val="000000"/>
                <w:sz w:val="20"/>
                <w:szCs w:val="20"/>
                <w:lang w:val="ro-RO"/>
              </w:rPr>
              <w:t>garant ca ambalajul returnabil va fi restituit) pentru ambalajul retu</w:t>
            </w:r>
            <w:r w:rsidR="007563E8" w:rsidRPr="001B7CE6">
              <w:rPr>
                <w:rFonts w:ascii="Georgia" w:hAnsi="Georgia" w:cs="Helv"/>
                <w:color w:val="000000"/>
                <w:sz w:val="20"/>
                <w:szCs w:val="20"/>
                <w:lang w:val="ro-RO"/>
              </w:rPr>
              <w:t>r</w:t>
            </w:r>
            <w:r w:rsidR="008001E1" w:rsidRPr="001B7CE6">
              <w:rPr>
                <w:rFonts w:ascii="Georgia" w:hAnsi="Georgia" w:cs="Helv"/>
                <w:color w:val="000000"/>
                <w:sz w:val="20"/>
                <w:szCs w:val="20"/>
                <w:lang w:val="ro-RO"/>
              </w:rPr>
              <w:t>nabil. Totodat</w:t>
            </w:r>
            <w:r w:rsidR="001D46D1" w:rsidRPr="001B7CE6">
              <w:rPr>
                <w:rFonts w:ascii="Georgia" w:hAnsi="Georgia" w:cs="Helv"/>
                <w:color w:val="000000"/>
                <w:sz w:val="20"/>
                <w:szCs w:val="20"/>
                <w:lang w:val="ro-RO"/>
              </w:rPr>
              <w:t>ă</w:t>
            </w:r>
            <w:r w:rsidR="008001E1" w:rsidRPr="001B7CE6">
              <w:rPr>
                <w:rFonts w:ascii="Georgia" w:hAnsi="Georgia" w:cs="Helv"/>
                <w:color w:val="000000"/>
                <w:sz w:val="20"/>
                <w:szCs w:val="20"/>
                <w:lang w:val="ro-RO"/>
              </w:rPr>
              <w:t xml:space="preserve"> aceasta incertitudine nu permite ca consumatorul final sa restituie ambalajul returnabil la v</w:t>
            </w:r>
            <w:r w:rsidR="005E4A08" w:rsidRPr="001B7CE6">
              <w:rPr>
                <w:rFonts w:ascii="Georgia" w:hAnsi="Georgia" w:cs="Helv"/>
                <w:color w:val="000000"/>
                <w:sz w:val="20"/>
                <w:szCs w:val="20"/>
                <w:lang w:val="ro-RO"/>
              </w:rPr>
              <w:t>â</w:t>
            </w:r>
            <w:r w:rsidR="008001E1" w:rsidRPr="001B7CE6">
              <w:rPr>
                <w:rFonts w:ascii="Georgia" w:hAnsi="Georgia" w:cs="Helv"/>
                <w:color w:val="000000"/>
                <w:sz w:val="20"/>
                <w:szCs w:val="20"/>
                <w:lang w:val="ro-RO"/>
              </w:rPr>
              <w:t>nz</w:t>
            </w:r>
            <w:r w:rsidR="005E4A08" w:rsidRPr="001B7CE6">
              <w:rPr>
                <w:rFonts w:ascii="Georgia" w:hAnsi="Georgia" w:cs="Helv"/>
                <w:color w:val="000000"/>
                <w:sz w:val="20"/>
                <w:szCs w:val="20"/>
                <w:lang w:val="ro-RO"/>
              </w:rPr>
              <w:t>ă</w:t>
            </w:r>
            <w:r w:rsidR="008001E1" w:rsidRPr="001B7CE6">
              <w:rPr>
                <w:rFonts w:ascii="Georgia" w:hAnsi="Georgia" w:cs="Helv"/>
                <w:color w:val="000000"/>
                <w:sz w:val="20"/>
                <w:szCs w:val="20"/>
                <w:lang w:val="ro-RO"/>
              </w:rPr>
              <w:t>tori.</w:t>
            </w:r>
          </w:p>
          <w:p w:rsidR="008001E1" w:rsidRPr="001B7CE6" w:rsidRDefault="008001E1" w:rsidP="008001E1">
            <w:pPr>
              <w:rPr>
                <w:rFonts w:ascii="Georgia" w:hAnsi="Georgia" w:cs="Helv"/>
                <w:color w:val="000000"/>
                <w:sz w:val="20"/>
                <w:szCs w:val="20"/>
                <w:lang w:val="ro-RO"/>
              </w:rPr>
            </w:pPr>
          </w:p>
          <w:p w:rsidR="00BC13E8" w:rsidRDefault="008001E1" w:rsidP="008001E1">
            <w:pPr>
              <w:rPr>
                <w:rFonts w:ascii="Georgia" w:hAnsi="Georgia" w:cs="Helv"/>
                <w:color w:val="000000"/>
                <w:sz w:val="20"/>
                <w:szCs w:val="20"/>
                <w:lang w:val="ro-RO"/>
              </w:rPr>
            </w:pPr>
            <w:r w:rsidRPr="001B7CE6">
              <w:rPr>
                <w:rFonts w:ascii="Georgia" w:hAnsi="Georgia" w:cs="Helv"/>
                <w:color w:val="000000"/>
                <w:sz w:val="20"/>
                <w:szCs w:val="20"/>
                <w:lang w:val="ro-RO"/>
              </w:rPr>
              <w:t>Propunem modificarea legisla</w:t>
            </w:r>
            <w:r w:rsidR="001D46D1" w:rsidRPr="001B7CE6">
              <w:rPr>
                <w:rFonts w:ascii="Georgia" w:hAnsi="Georgia" w:cs="Helv"/>
                <w:color w:val="000000"/>
                <w:sz w:val="20"/>
                <w:szCs w:val="20"/>
                <w:lang w:val="ro-RO"/>
              </w:rPr>
              <w:t>ţ</w:t>
            </w:r>
            <w:r w:rsidRPr="001B7CE6">
              <w:rPr>
                <w:rFonts w:ascii="Georgia" w:hAnsi="Georgia" w:cs="Helv"/>
                <w:color w:val="000000"/>
                <w:sz w:val="20"/>
                <w:szCs w:val="20"/>
                <w:lang w:val="ro-RO"/>
              </w:rPr>
              <w:t xml:space="preserve">iei </w:t>
            </w:r>
            <w:r w:rsidR="001D46D1" w:rsidRPr="001B7CE6">
              <w:rPr>
                <w:rFonts w:ascii="Georgia" w:hAnsi="Georgia" w:cs="Helv"/>
                <w:color w:val="000000"/>
                <w:sz w:val="20"/>
                <w:szCs w:val="20"/>
                <w:lang w:val="ro-RO"/>
              </w:rPr>
              <w:t>î</w:t>
            </w:r>
            <w:r w:rsidRPr="001B7CE6">
              <w:rPr>
                <w:rFonts w:ascii="Georgia" w:hAnsi="Georgia" w:cs="Helv"/>
                <w:color w:val="000000"/>
                <w:sz w:val="20"/>
                <w:szCs w:val="20"/>
                <w:lang w:val="ro-RO"/>
              </w:rPr>
              <w:t>n vigoare privind ma</w:t>
            </w:r>
            <w:r w:rsidR="001D46D1" w:rsidRPr="001B7CE6">
              <w:rPr>
                <w:rFonts w:ascii="Georgia" w:hAnsi="Georgia" w:cs="Helv"/>
                <w:color w:val="000000"/>
                <w:sz w:val="20"/>
                <w:szCs w:val="20"/>
                <w:lang w:val="ro-RO"/>
              </w:rPr>
              <w:t>ş</w:t>
            </w:r>
            <w:r w:rsidRPr="001B7CE6">
              <w:rPr>
                <w:rFonts w:ascii="Georgia" w:hAnsi="Georgia" w:cs="Helv"/>
                <w:color w:val="000000"/>
                <w:sz w:val="20"/>
                <w:szCs w:val="20"/>
                <w:lang w:val="ro-RO"/>
              </w:rPr>
              <w:t>inile de cas</w:t>
            </w:r>
            <w:r w:rsidR="001D46D1" w:rsidRPr="001B7CE6">
              <w:rPr>
                <w:rFonts w:ascii="Georgia" w:hAnsi="Georgia" w:cs="Helv"/>
                <w:color w:val="000000"/>
                <w:sz w:val="20"/>
                <w:szCs w:val="20"/>
                <w:lang w:val="ro-RO"/>
              </w:rPr>
              <w:t>ă</w:t>
            </w:r>
            <w:r w:rsidRPr="001B7CE6">
              <w:rPr>
                <w:rFonts w:ascii="Georgia" w:hAnsi="Georgia" w:cs="Helv"/>
                <w:color w:val="000000"/>
                <w:sz w:val="20"/>
                <w:szCs w:val="20"/>
                <w:lang w:val="ro-RO"/>
              </w:rPr>
              <w:t xml:space="preserve"> </w:t>
            </w:r>
            <w:r w:rsidR="001D46D1" w:rsidRPr="001B7CE6">
              <w:rPr>
                <w:rFonts w:ascii="Georgia" w:hAnsi="Georgia" w:cs="Helv"/>
                <w:color w:val="000000"/>
                <w:sz w:val="20"/>
                <w:szCs w:val="20"/>
                <w:lang w:val="ro-RO"/>
              </w:rPr>
              <w:t>ş</w:t>
            </w:r>
            <w:r w:rsidRPr="001B7CE6">
              <w:rPr>
                <w:rFonts w:ascii="Georgia" w:hAnsi="Georgia" w:cs="Helv"/>
                <w:color w:val="000000"/>
                <w:sz w:val="20"/>
                <w:szCs w:val="20"/>
                <w:lang w:val="ro-RO"/>
              </w:rPr>
              <w:t xml:space="preserve">i control astfel </w:t>
            </w:r>
            <w:r w:rsidR="001D46D1" w:rsidRPr="001B7CE6">
              <w:rPr>
                <w:rFonts w:ascii="Georgia" w:hAnsi="Georgia" w:cs="Helv"/>
                <w:color w:val="000000"/>
                <w:sz w:val="20"/>
                <w:szCs w:val="20"/>
                <w:lang w:val="ro-RO"/>
              </w:rPr>
              <w:t>î</w:t>
            </w:r>
            <w:r w:rsidRPr="001B7CE6">
              <w:rPr>
                <w:rFonts w:ascii="Georgia" w:hAnsi="Georgia" w:cs="Helv"/>
                <w:color w:val="000000"/>
                <w:sz w:val="20"/>
                <w:szCs w:val="20"/>
                <w:lang w:val="ro-RO"/>
              </w:rPr>
              <w:t>nc</w:t>
            </w:r>
            <w:r w:rsidR="001D46D1" w:rsidRPr="001B7CE6">
              <w:rPr>
                <w:rFonts w:ascii="Georgia" w:hAnsi="Georgia" w:cs="Helv"/>
                <w:color w:val="000000"/>
                <w:sz w:val="20"/>
                <w:szCs w:val="20"/>
                <w:lang w:val="ro-RO"/>
              </w:rPr>
              <w:t>â</w:t>
            </w:r>
            <w:r w:rsidRPr="001B7CE6">
              <w:rPr>
                <w:rFonts w:ascii="Georgia" w:hAnsi="Georgia" w:cs="Helv"/>
                <w:color w:val="000000"/>
                <w:sz w:val="20"/>
                <w:szCs w:val="20"/>
                <w:lang w:val="ro-RO"/>
              </w:rPr>
              <w:t>t s</w:t>
            </w:r>
            <w:r w:rsidR="00354A21" w:rsidRPr="001B7CE6">
              <w:rPr>
                <w:rFonts w:ascii="Georgia" w:hAnsi="Georgia" w:cs="Helv"/>
                <w:color w:val="000000"/>
                <w:sz w:val="20"/>
                <w:szCs w:val="20"/>
                <w:lang w:val="ro-RO"/>
              </w:rPr>
              <w:t>ă</w:t>
            </w:r>
            <w:r w:rsidRPr="001B7CE6">
              <w:rPr>
                <w:rFonts w:ascii="Georgia" w:hAnsi="Georgia" w:cs="Helv"/>
                <w:color w:val="000000"/>
                <w:sz w:val="20"/>
                <w:szCs w:val="20"/>
                <w:lang w:val="ro-RO"/>
              </w:rPr>
              <w:t xml:space="preserve"> </w:t>
            </w:r>
            <w:r w:rsidR="001D46D1" w:rsidRPr="001B7CE6">
              <w:rPr>
                <w:rFonts w:ascii="Georgia" w:hAnsi="Georgia" w:cs="Helv"/>
                <w:color w:val="000000"/>
                <w:sz w:val="20"/>
                <w:szCs w:val="20"/>
                <w:lang w:val="ro-RO"/>
              </w:rPr>
              <w:t xml:space="preserve">existe posibilitatea </w:t>
            </w:r>
            <w:r w:rsidRPr="001B7CE6">
              <w:rPr>
                <w:rFonts w:ascii="Georgia" w:hAnsi="Georgia" w:cs="Helv"/>
                <w:color w:val="000000"/>
                <w:sz w:val="20"/>
                <w:szCs w:val="20"/>
                <w:lang w:val="ro-RO"/>
              </w:rPr>
              <w:t>ca prin aceste aparate s</w:t>
            </w:r>
            <w:r w:rsidR="00354A21" w:rsidRPr="001B7CE6">
              <w:rPr>
                <w:rFonts w:ascii="Georgia" w:hAnsi="Georgia" w:cs="Helv"/>
                <w:color w:val="000000"/>
                <w:sz w:val="20"/>
                <w:szCs w:val="20"/>
                <w:lang w:val="ro-RO"/>
              </w:rPr>
              <w:t>ă</w:t>
            </w:r>
            <w:r w:rsidRPr="001B7CE6">
              <w:rPr>
                <w:rFonts w:ascii="Georgia" w:hAnsi="Georgia" w:cs="Helv"/>
                <w:color w:val="000000"/>
                <w:sz w:val="20"/>
                <w:szCs w:val="20"/>
                <w:lang w:val="ro-RO"/>
              </w:rPr>
              <w:t xml:space="preserve"> fie documentat</w:t>
            </w:r>
            <w:r w:rsidR="001D46D1" w:rsidRPr="001B7CE6">
              <w:rPr>
                <w:rFonts w:ascii="Georgia" w:hAnsi="Georgia" w:cs="Helv"/>
                <w:color w:val="000000"/>
                <w:sz w:val="20"/>
                <w:szCs w:val="20"/>
                <w:lang w:val="ro-RO"/>
              </w:rPr>
              <w:t>ă</w:t>
            </w:r>
            <w:r w:rsidRPr="001B7CE6">
              <w:rPr>
                <w:rFonts w:ascii="Georgia" w:hAnsi="Georgia" w:cs="Helv"/>
                <w:color w:val="000000"/>
                <w:sz w:val="20"/>
                <w:szCs w:val="20"/>
                <w:lang w:val="ro-RO"/>
              </w:rPr>
              <w:t xml:space="preserve"> </w:t>
            </w:r>
            <w:r w:rsidR="00354A21" w:rsidRPr="001B7CE6">
              <w:rPr>
                <w:rFonts w:ascii="Georgia" w:hAnsi="Georgia" w:cs="Helv"/>
                <w:color w:val="000000"/>
                <w:sz w:val="20"/>
                <w:szCs w:val="20"/>
                <w:lang w:val="ro-RO"/>
              </w:rPr>
              <w:t>încasarea</w:t>
            </w:r>
            <w:r w:rsidRPr="001B7CE6">
              <w:rPr>
                <w:rFonts w:ascii="Georgia" w:hAnsi="Georgia" w:cs="Helv"/>
                <w:color w:val="000000"/>
                <w:sz w:val="20"/>
                <w:szCs w:val="20"/>
                <w:lang w:val="ro-RO"/>
              </w:rPr>
              <w:t xml:space="preserve"> depozitului de la consumatorul final, </w:t>
            </w:r>
            <w:r w:rsidR="001D46D1" w:rsidRPr="001B7CE6">
              <w:rPr>
                <w:rFonts w:ascii="Georgia" w:hAnsi="Georgia" w:cs="Helv"/>
                <w:color w:val="000000"/>
                <w:sz w:val="20"/>
                <w:szCs w:val="20"/>
                <w:lang w:val="ro-RO"/>
              </w:rPr>
              <w:t>precum</w:t>
            </w:r>
            <w:r w:rsidRPr="001B7CE6">
              <w:rPr>
                <w:rFonts w:ascii="Georgia" w:hAnsi="Georgia" w:cs="Helv"/>
                <w:color w:val="000000"/>
                <w:sz w:val="20"/>
                <w:szCs w:val="20"/>
                <w:lang w:val="ro-RO"/>
              </w:rPr>
              <w:t xml:space="preserve"> </w:t>
            </w:r>
            <w:r w:rsidR="00354A21" w:rsidRPr="001B7CE6">
              <w:rPr>
                <w:rFonts w:ascii="Georgia" w:hAnsi="Georgia" w:cs="Helv"/>
                <w:color w:val="000000"/>
                <w:sz w:val="20"/>
                <w:szCs w:val="20"/>
                <w:lang w:val="ro-RO"/>
              </w:rPr>
              <w:t>ş</w:t>
            </w:r>
            <w:r w:rsidRPr="001B7CE6">
              <w:rPr>
                <w:rFonts w:ascii="Georgia" w:hAnsi="Georgia" w:cs="Helv"/>
                <w:color w:val="000000"/>
                <w:sz w:val="20"/>
                <w:szCs w:val="20"/>
                <w:lang w:val="ro-RO"/>
              </w:rPr>
              <w:t xml:space="preserve">i rambursarea depozitului la returnare de </w:t>
            </w:r>
            <w:r w:rsidR="00354A21" w:rsidRPr="001B7CE6">
              <w:rPr>
                <w:rFonts w:ascii="Georgia" w:hAnsi="Georgia" w:cs="Helv"/>
                <w:color w:val="000000"/>
                <w:sz w:val="20"/>
                <w:szCs w:val="20"/>
                <w:lang w:val="ro-RO"/>
              </w:rPr>
              <w:t>către</w:t>
            </w:r>
            <w:r w:rsidRPr="001B7CE6">
              <w:rPr>
                <w:rFonts w:ascii="Georgia" w:hAnsi="Georgia" w:cs="Helv"/>
                <w:color w:val="000000"/>
                <w:sz w:val="20"/>
                <w:szCs w:val="20"/>
                <w:lang w:val="ro-RO"/>
              </w:rPr>
              <w:t xml:space="preserve"> consumatorul final a ambalajului returnabil.</w:t>
            </w:r>
          </w:p>
          <w:p w:rsidR="00BC13E8" w:rsidRPr="001B7CE6" w:rsidRDefault="00BC13E8" w:rsidP="008001E1">
            <w:pPr>
              <w:rPr>
                <w:rFonts w:ascii="Georgia" w:hAnsi="Georgia" w:cs="Helv"/>
                <w:color w:val="000000"/>
                <w:sz w:val="20"/>
                <w:szCs w:val="20"/>
                <w:lang w:val="ro-RO"/>
              </w:rPr>
            </w:pPr>
          </w:p>
          <w:p w:rsidR="00111A27" w:rsidRDefault="007A38C1">
            <w:pPr>
              <w:rPr>
                <w:rFonts w:ascii="Georgia" w:hAnsi="Georgia" w:cs="Helv"/>
                <w:color w:val="000000"/>
                <w:sz w:val="20"/>
                <w:szCs w:val="20"/>
                <w:lang w:val="ro-RO"/>
              </w:rPr>
            </w:pPr>
            <w:r w:rsidRPr="007A38C1">
              <w:rPr>
                <w:rFonts w:ascii="Georgia" w:hAnsi="Georgia" w:cs="Helv"/>
                <w:color w:val="000000"/>
                <w:sz w:val="20"/>
                <w:szCs w:val="20"/>
                <w:lang w:val="ro-RO"/>
              </w:rPr>
              <w:t xml:space="preserve">Aceasta practica </w:t>
            </w:r>
            <w:r w:rsidR="00522629" w:rsidRPr="0035316E">
              <w:rPr>
                <w:rFonts w:ascii="Georgia" w:hAnsi="Georgia" w:cs="Helv"/>
                <w:color w:val="000000"/>
                <w:sz w:val="20"/>
                <w:szCs w:val="20"/>
                <w:lang w:val="ro-RO"/>
              </w:rPr>
              <w:t xml:space="preserve">este </w:t>
            </w:r>
            <w:r w:rsidRPr="007A38C1">
              <w:rPr>
                <w:rFonts w:ascii="Georgia" w:hAnsi="Georgia" w:cs="Helv"/>
                <w:color w:val="000000"/>
                <w:sz w:val="20"/>
                <w:szCs w:val="20"/>
                <w:lang w:val="ro-RO"/>
              </w:rPr>
              <w:t>folosită în majoritarea statelor UE şi are un beneficiu atât ecologic cât şi social.</w:t>
            </w:r>
            <w:bookmarkStart w:id="0" w:name="_GoBack"/>
            <w:bookmarkEnd w:id="0"/>
            <w:r w:rsidRPr="007A38C1">
              <w:rPr>
                <w:rFonts w:ascii="Georgia" w:hAnsi="Georgia" w:cs="Helv"/>
                <w:color w:val="000000"/>
                <w:sz w:val="20"/>
                <w:szCs w:val="20"/>
                <w:lang w:val="ro-RO"/>
              </w:rPr>
              <w:t xml:space="preserve"> </w:t>
            </w:r>
          </w:p>
        </w:tc>
        <w:tc>
          <w:tcPr>
            <w:tcW w:w="1700" w:type="dxa"/>
          </w:tcPr>
          <w:p w:rsidR="00E74874" w:rsidRPr="001B7CE6" w:rsidRDefault="00E74874">
            <w:pPr>
              <w:spacing w:after="200" w:line="276" w:lineRule="auto"/>
              <w:rPr>
                <w:rFonts w:ascii="Georgia" w:hAnsi="Georgia"/>
                <w:sz w:val="20"/>
                <w:szCs w:val="20"/>
                <w:lang w:val="ro-RO"/>
              </w:rPr>
            </w:pPr>
          </w:p>
        </w:tc>
      </w:tr>
      <w:tr w:rsidR="00A74686" w:rsidRPr="007C528A" w:rsidTr="00AA5D36">
        <w:tc>
          <w:tcPr>
            <w:tcW w:w="1951" w:type="dxa"/>
          </w:tcPr>
          <w:p w:rsidR="00A74686" w:rsidRPr="001B7CE6" w:rsidRDefault="00A74686">
            <w:pPr>
              <w:rPr>
                <w:rFonts w:ascii="Georgia" w:hAnsi="Georgia"/>
                <w:sz w:val="20"/>
                <w:szCs w:val="20"/>
                <w:lang w:val="ro-RO"/>
              </w:rPr>
            </w:pPr>
          </w:p>
        </w:tc>
        <w:tc>
          <w:tcPr>
            <w:tcW w:w="2835" w:type="dxa"/>
          </w:tcPr>
          <w:p w:rsidR="00A74686" w:rsidRPr="007A38C1" w:rsidRDefault="00A74686">
            <w:pPr>
              <w:pStyle w:val="ListParagraph"/>
              <w:numPr>
                <w:ilvl w:val="0"/>
                <w:numId w:val="8"/>
              </w:numPr>
              <w:spacing w:after="0" w:line="240" w:lineRule="auto"/>
              <w:ind w:left="317" w:hanging="261"/>
              <w:rPr>
                <w:rFonts w:cs="Helv"/>
                <w:color w:val="000000"/>
                <w:lang w:val="ro-RO"/>
              </w:rPr>
            </w:pPr>
            <w:r>
              <w:rPr>
                <w:rFonts w:cs="Helv"/>
                <w:color w:val="000000"/>
                <w:lang w:val="ro-RO"/>
              </w:rPr>
              <w:t xml:space="preserve">Beneficiile acordate de angajator (servicul de transport, prinz, etc) </w:t>
            </w:r>
          </w:p>
        </w:tc>
        <w:tc>
          <w:tcPr>
            <w:tcW w:w="7655" w:type="dxa"/>
          </w:tcPr>
          <w:p w:rsidR="00A74686" w:rsidRDefault="00A74686" w:rsidP="00710F51">
            <w:pPr>
              <w:rPr>
                <w:rFonts w:ascii="Georgia" w:hAnsi="Georgia" w:cs="Helv"/>
                <w:color w:val="000000"/>
                <w:sz w:val="20"/>
                <w:szCs w:val="20"/>
                <w:lang w:val="ro-RO"/>
              </w:rPr>
            </w:pPr>
            <w:r>
              <w:rPr>
                <w:rFonts w:ascii="Georgia" w:hAnsi="Georgia" w:cs="Helv"/>
                <w:color w:val="000000"/>
                <w:sz w:val="20"/>
                <w:szCs w:val="20"/>
                <w:lang w:val="ro-RO"/>
              </w:rPr>
              <w:t xml:space="preserve">Propunem </w:t>
            </w:r>
            <w:r w:rsidR="00710F51">
              <w:rPr>
                <w:rFonts w:ascii="Georgia" w:hAnsi="Georgia" w:cs="Helv"/>
                <w:color w:val="000000"/>
                <w:sz w:val="20"/>
                <w:szCs w:val="20"/>
                <w:lang w:val="ro-RO"/>
              </w:rPr>
              <w:t>ca aceste cheltuieli sa fie recunoscute ca cheltuieli deductibile la comapanii (aceasta fiind o recomandare ce a fost reiterata in repetate rindusri de agentii economici mari/investitori straini)</w:t>
            </w:r>
          </w:p>
        </w:tc>
        <w:tc>
          <w:tcPr>
            <w:tcW w:w="1700" w:type="dxa"/>
          </w:tcPr>
          <w:p w:rsidR="00A74686" w:rsidRPr="001B7CE6" w:rsidRDefault="00A74686">
            <w:pPr>
              <w:rPr>
                <w:rFonts w:ascii="Georgia" w:hAnsi="Georgia"/>
                <w:sz w:val="20"/>
                <w:szCs w:val="20"/>
                <w:lang w:val="ro-RO"/>
              </w:rPr>
            </w:pPr>
          </w:p>
        </w:tc>
      </w:tr>
    </w:tbl>
    <w:p w:rsidR="005F3910" w:rsidRPr="001B7CE6" w:rsidRDefault="005F3910">
      <w:pPr>
        <w:rPr>
          <w:rFonts w:ascii="Georgia" w:hAnsi="Georgia"/>
          <w:sz w:val="20"/>
          <w:szCs w:val="20"/>
          <w:lang w:val="ro-RO"/>
        </w:rPr>
      </w:pPr>
    </w:p>
    <w:sectPr w:rsidR="005F3910" w:rsidRPr="001B7CE6" w:rsidSect="008B227E">
      <w:pgSz w:w="15840" w:h="12240"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F49" w:rsidRDefault="008A3F49" w:rsidP="00C67811">
      <w:pPr>
        <w:spacing w:after="0" w:line="240" w:lineRule="auto"/>
      </w:pPr>
      <w:r>
        <w:separator/>
      </w:r>
    </w:p>
  </w:endnote>
  <w:endnote w:type="continuationSeparator" w:id="0">
    <w:p w:rsidR="008A3F49" w:rsidRDefault="008A3F49" w:rsidP="00C67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BoldItalic">
    <w:altName w:val="MS Mincho"/>
    <w:panose1 w:val="00000000000000000000"/>
    <w:charset w:val="80"/>
    <w:family w:val="auto"/>
    <w:notTrueType/>
    <w:pitch w:val="default"/>
    <w:sig w:usb0="00000001" w:usb1="08070000" w:usb2="00000010" w:usb3="00000000" w:csb0="00020000" w:csb1="00000000"/>
  </w:font>
  <w:font w:name="Arial,Bold">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F49" w:rsidRDefault="008A3F49" w:rsidP="00C67811">
      <w:pPr>
        <w:spacing w:after="0" w:line="240" w:lineRule="auto"/>
      </w:pPr>
      <w:r>
        <w:separator/>
      </w:r>
    </w:p>
  </w:footnote>
  <w:footnote w:type="continuationSeparator" w:id="0">
    <w:p w:rsidR="008A3F49" w:rsidRDefault="008A3F49" w:rsidP="00C67811">
      <w:pPr>
        <w:spacing w:after="0" w:line="240" w:lineRule="auto"/>
      </w:pPr>
      <w:r>
        <w:continuationSeparator/>
      </w:r>
    </w:p>
  </w:footnote>
  <w:footnote w:id="1">
    <w:p w:rsidR="00C67811" w:rsidRPr="00A74686" w:rsidRDefault="00D15817" w:rsidP="00C67811">
      <w:pPr>
        <w:pStyle w:val="FootnoteText"/>
        <w:rPr>
          <w:sz w:val="16"/>
          <w:szCs w:val="16"/>
          <w:lang w:val="es-ES_tradnl"/>
        </w:rPr>
      </w:pPr>
      <w:r w:rsidRPr="00D15817">
        <w:rPr>
          <w:rStyle w:val="FootnoteReference"/>
        </w:rPr>
        <w:footnoteRef/>
      </w:r>
      <w:r w:rsidRPr="00A74686">
        <w:rPr>
          <w:lang w:val="es-ES_tradnl"/>
        </w:rPr>
        <w:t xml:space="preserve"> </w:t>
      </w:r>
      <w:r w:rsidRPr="00D15817">
        <w:rPr>
          <w:rFonts w:cs="Arial"/>
          <w:sz w:val="16"/>
          <w:szCs w:val="16"/>
          <w:lang w:val="ro-RO"/>
        </w:rPr>
        <w:t>Ordinul Serviciului Vamal nr. 346-O din 24.12.2009</w:t>
      </w:r>
    </w:p>
  </w:footnote>
  <w:footnote w:id="2">
    <w:p w:rsidR="00C67811" w:rsidRPr="00170093" w:rsidRDefault="00D15817" w:rsidP="00C67811">
      <w:pPr>
        <w:pStyle w:val="FootnoteText"/>
        <w:rPr>
          <w:rFonts w:cs="Arial"/>
          <w:sz w:val="16"/>
          <w:szCs w:val="16"/>
          <w:highlight w:val="yellow"/>
          <w:lang w:val="ro-RO"/>
        </w:rPr>
      </w:pPr>
      <w:r w:rsidRPr="00D15817">
        <w:rPr>
          <w:rFonts w:cs="Arial"/>
          <w:sz w:val="16"/>
          <w:szCs w:val="16"/>
          <w:lang w:val="ro-RO"/>
        </w:rPr>
        <w:footnoteRef/>
      </w:r>
      <w:r w:rsidRPr="00D15817">
        <w:rPr>
          <w:rFonts w:cs="Arial"/>
          <w:sz w:val="16"/>
          <w:szCs w:val="16"/>
          <w:lang w:val="ro-RO"/>
        </w:rPr>
        <w:t xml:space="preserve"> Decizia Comisiei Uniunii Vamale nr. 263 din 20 mai 2010 cu privire la modul de utilizare a documentelor de transport, comerciale sau altor documente în calitate de declaraţie vamală</w:t>
      </w:r>
    </w:p>
  </w:footnote>
  <w:footnote w:id="3">
    <w:p w:rsidR="00C67811" w:rsidRPr="00A852D1" w:rsidRDefault="00D15817" w:rsidP="00C67811">
      <w:pPr>
        <w:pStyle w:val="FootnoteText"/>
        <w:rPr>
          <w:sz w:val="16"/>
          <w:szCs w:val="16"/>
          <w:lang w:val="ro-RO"/>
        </w:rPr>
      </w:pPr>
      <w:r w:rsidRPr="00D15817">
        <w:rPr>
          <w:rStyle w:val="FootnoteReference"/>
          <w:sz w:val="16"/>
          <w:szCs w:val="16"/>
        </w:rPr>
        <w:footnoteRef/>
      </w:r>
      <w:r w:rsidRPr="00A74686">
        <w:rPr>
          <w:sz w:val="16"/>
          <w:szCs w:val="16"/>
          <w:lang w:val="es-ES_tradnl"/>
        </w:rPr>
        <w:t xml:space="preserve"> </w:t>
      </w:r>
      <w:r w:rsidRPr="00D15817">
        <w:rPr>
          <w:rFonts w:cs="Arial"/>
          <w:sz w:val="16"/>
          <w:szCs w:val="16"/>
          <w:lang w:val="ro-RO"/>
        </w:rPr>
        <w:t>Acordul privind punerea în aplicare a Articolului VII al Acordului GATT 1994, articolul 7, alin. 2</w:t>
      </w:r>
    </w:p>
  </w:footnote>
  <w:footnote w:id="4">
    <w:p w:rsidR="00C67811" w:rsidRPr="00A852D1" w:rsidRDefault="00D15817" w:rsidP="00C67811">
      <w:pPr>
        <w:pStyle w:val="FootnoteText"/>
        <w:rPr>
          <w:sz w:val="16"/>
          <w:szCs w:val="16"/>
          <w:lang w:val="ro-RO"/>
        </w:rPr>
      </w:pPr>
      <w:r w:rsidRPr="00D15817">
        <w:rPr>
          <w:rStyle w:val="FootnoteReference"/>
          <w:sz w:val="16"/>
          <w:szCs w:val="16"/>
        </w:rPr>
        <w:footnoteRef/>
      </w:r>
      <w:r w:rsidRPr="00A74686">
        <w:rPr>
          <w:sz w:val="16"/>
          <w:szCs w:val="16"/>
          <w:lang w:val="es-ES_tradnl"/>
        </w:rPr>
        <w:t xml:space="preserve"> </w:t>
      </w:r>
      <w:r w:rsidRPr="00D15817">
        <w:rPr>
          <w:rFonts w:cs="Arial"/>
          <w:sz w:val="16"/>
          <w:szCs w:val="16"/>
          <w:lang w:val="ro-RO"/>
        </w:rPr>
        <w:t>Legea cu privire la tariful vamal nr. 1380 din 20 noiembrie 1997, note la articolul 11 alin(2) pct. 4</w:t>
      </w:r>
    </w:p>
  </w:footnote>
  <w:footnote w:id="5">
    <w:p w:rsidR="00C67811" w:rsidRPr="00A852D1" w:rsidRDefault="00D15817" w:rsidP="00C67811">
      <w:pPr>
        <w:pStyle w:val="FootnoteText"/>
        <w:rPr>
          <w:sz w:val="16"/>
          <w:szCs w:val="16"/>
          <w:lang w:val="ro-RO"/>
        </w:rPr>
      </w:pPr>
      <w:r w:rsidRPr="00D15817">
        <w:rPr>
          <w:rStyle w:val="FootnoteReference"/>
          <w:sz w:val="16"/>
          <w:szCs w:val="16"/>
        </w:rPr>
        <w:footnoteRef/>
      </w:r>
      <w:r w:rsidRPr="00D15817">
        <w:rPr>
          <w:sz w:val="16"/>
          <w:szCs w:val="16"/>
        </w:rPr>
        <w:t xml:space="preserve"> </w:t>
      </w:r>
      <w:r w:rsidRPr="00D15817">
        <w:rPr>
          <w:rFonts w:cs="Arial"/>
          <w:sz w:val="16"/>
          <w:szCs w:val="16"/>
          <w:lang w:val="ro-RO"/>
        </w:rPr>
        <w:t>Cod fiscal, art.93 alin.9), art. 101 alin. (4), art.115 alin.(2), art.  109 alin. (1)</w:t>
      </w:r>
      <w:r w:rsidRPr="00D15817">
        <w:rPr>
          <w:sz w:val="16"/>
          <w:szCs w:val="16"/>
        </w:rPr>
        <w:t xml:space="preserve"> </w:t>
      </w:r>
    </w:p>
  </w:footnote>
  <w:footnote w:id="6">
    <w:p w:rsidR="00C67811" w:rsidRPr="000E6383" w:rsidRDefault="00D15817" w:rsidP="00C67811">
      <w:pPr>
        <w:pStyle w:val="FootnoteText"/>
        <w:rPr>
          <w:sz w:val="16"/>
          <w:szCs w:val="16"/>
          <w:lang w:val="ro-RO"/>
        </w:rPr>
      </w:pPr>
      <w:r w:rsidRPr="00D15817">
        <w:rPr>
          <w:rStyle w:val="FootnoteReference"/>
          <w:sz w:val="16"/>
          <w:szCs w:val="16"/>
        </w:rPr>
        <w:footnoteRef/>
      </w:r>
      <w:r w:rsidRPr="00D15817">
        <w:rPr>
          <w:sz w:val="16"/>
          <w:szCs w:val="16"/>
        </w:rPr>
        <w:t xml:space="preserve"> </w:t>
      </w:r>
      <w:r w:rsidRPr="00D15817">
        <w:rPr>
          <w:sz w:val="16"/>
          <w:szCs w:val="16"/>
          <w:lang w:val="ro-RO"/>
        </w:rPr>
        <w:t>Art.231 şi 232 ale Codului vamal</w:t>
      </w:r>
    </w:p>
  </w:footnote>
  <w:footnote w:id="7">
    <w:p w:rsidR="00C67811" w:rsidRPr="003A53E3" w:rsidRDefault="00C67811" w:rsidP="00C67811">
      <w:pPr>
        <w:pStyle w:val="FootnoteText"/>
        <w:rPr>
          <w:sz w:val="16"/>
          <w:szCs w:val="16"/>
          <w:lang w:val="ro-RO"/>
        </w:rPr>
      </w:pPr>
      <w:r w:rsidRPr="003A53E3">
        <w:rPr>
          <w:rStyle w:val="FootnoteReference"/>
          <w:sz w:val="16"/>
          <w:szCs w:val="16"/>
        </w:rPr>
        <w:footnoteRef/>
      </w:r>
      <w:r w:rsidRPr="00A74686">
        <w:rPr>
          <w:sz w:val="16"/>
          <w:szCs w:val="16"/>
          <w:lang w:val="ro-RO"/>
        </w:rPr>
        <w:t xml:space="preserve"> </w:t>
      </w:r>
      <w:r w:rsidRPr="003A53E3">
        <w:rPr>
          <w:sz w:val="16"/>
          <w:szCs w:val="16"/>
          <w:lang w:val="ro-RO"/>
        </w:rPr>
        <w:t>Art.32 al Codului fiscal</w:t>
      </w:r>
    </w:p>
  </w:footnote>
  <w:footnote w:id="8">
    <w:p w:rsidR="00C67811" w:rsidRPr="00FA3397" w:rsidRDefault="00C67811" w:rsidP="00C67811">
      <w:pPr>
        <w:pStyle w:val="FootnoteText"/>
        <w:rPr>
          <w:sz w:val="16"/>
          <w:szCs w:val="16"/>
          <w:lang w:val="ro-RO"/>
        </w:rPr>
      </w:pPr>
      <w:r w:rsidRPr="00FA3397">
        <w:rPr>
          <w:rStyle w:val="FootnoteReference"/>
          <w:sz w:val="16"/>
          <w:szCs w:val="16"/>
          <w:lang w:val="ro-RO"/>
        </w:rPr>
        <w:footnoteRef/>
      </w:r>
      <w:r w:rsidRPr="00FA3397">
        <w:rPr>
          <w:sz w:val="16"/>
          <w:szCs w:val="16"/>
          <w:lang w:val="ro-RO"/>
        </w:rPr>
        <w:t xml:space="preserve"> În baza informaţiilor conţinute în Worldwide Tax Summaries (WWTS) în perioada septembrie – octombrie 2012. (https://www.pwc.com/gx/en/worldwide-tax-summaries/index.jhtml) </w:t>
      </w:r>
    </w:p>
  </w:footnote>
  <w:footnote w:id="9">
    <w:p w:rsidR="00C67811" w:rsidRPr="00F851E4" w:rsidRDefault="0031153D" w:rsidP="00C67811">
      <w:pPr>
        <w:pStyle w:val="FootnoteText"/>
        <w:rPr>
          <w:sz w:val="16"/>
          <w:szCs w:val="16"/>
          <w:lang w:val="ro-RO"/>
        </w:rPr>
      </w:pPr>
      <w:r w:rsidRPr="0031153D">
        <w:rPr>
          <w:sz w:val="16"/>
          <w:szCs w:val="16"/>
          <w:lang w:val="ro-RO"/>
        </w:rPr>
        <w:footnoteRef/>
      </w:r>
      <w:r w:rsidRPr="0031153D">
        <w:rPr>
          <w:sz w:val="16"/>
          <w:szCs w:val="16"/>
          <w:lang w:val="ro-RO"/>
        </w:rPr>
        <w:t xml:space="preserve"> Cod Fiscal, art. 101</w:t>
      </w:r>
      <w:r w:rsidRPr="0031153D">
        <w:rPr>
          <w:sz w:val="16"/>
          <w:szCs w:val="16"/>
          <w:vertAlign w:val="superscript"/>
          <w:lang w:val="ro-RO"/>
        </w:rPr>
        <w:t>1</w:t>
      </w:r>
      <w:r w:rsidRPr="0031153D">
        <w:rPr>
          <w:sz w:val="16"/>
          <w:szCs w:val="16"/>
          <w:lang w:val="ro-RO"/>
        </w:rPr>
        <w:t>, alin (2)</w:t>
      </w:r>
    </w:p>
  </w:footnote>
  <w:footnote w:id="10">
    <w:p w:rsidR="00C67811" w:rsidRPr="00DD707B" w:rsidRDefault="0031153D" w:rsidP="00C67811">
      <w:pPr>
        <w:pStyle w:val="FootnoteText"/>
        <w:rPr>
          <w:lang w:val="ro-RO"/>
        </w:rPr>
      </w:pPr>
      <w:r w:rsidRPr="0031153D">
        <w:rPr>
          <w:sz w:val="16"/>
          <w:szCs w:val="16"/>
          <w:lang w:val="ro-RO"/>
        </w:rPr>
        <w:footnoteRef/>
      </w:r>
      <w:r w:rsidRPr="0031153D">
        <w:rPr>
          <w:sz w:val="16"/>
          <w:szCs w:val="16"/>
          <w:lang w:val="ro-RO"/>
        </w:rPr>
        <w:t xml:space="preserve"> Cod Fiscal, art. 266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E7A"/>
    <w:multiLevelType w:val="hybridMultilevel"/>
    <w:tmpl w:val="A91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3F37"/>
    <w:multiLevelType w:val="hybridMultilevel"/>
    <w:tmpl w:val="E39A493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160ABE"/>
    <w:multiLevelType w:val="hybridMultilevel"/>
    <w:tmpl w:val="7BA60FBA"/>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25421326"/>
    <w:multiLevelType w:val="hybridMultilevel"/>
    <w:tmpl w:val="9AAE81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8463DB4"/>
    <w:multiLevelType w:val="hybridMultilevel"/>
    <w:tmpl w:val="B15ED9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5AA7B02"/>
    <w:multiLevelType w:val="hybridMultilevel"/>
    <w:tmpl w:val="1A8C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1738E"/>
    <w:multiLevelType w:val="hybridMultilevel"/>
    <w:tmpl w:val="DC44A4D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6EB6CC2"/>
    <w:multiLevelType w:val="hybridMultilevel"/>
    <w:tmpl w:val="1A8C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C1A7E"/>
    <w:multiLevelType w:val="hybridMultilevel"/>
    <w:tmpl w:val="E104DE6A"/>
    <w:lvl w:ilvl="0" w:tplc="1D582946">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FAD3E55"/>
    <w:multiLevelType w:val="hybridMultilevel"/>
    <w:tmpl w:val="54C8F7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8CF0BD0"/>
    <w:multiLevelType w:val="hybridMultilevel"/>
    <w:tmpl w:val="AA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10"/>
  </w:num>
  <w:num w:numId="6">
    <w:abstractNumId w:val="0"/>
  </w:num>
  <w:num w:numId="7">
    <w:abstractNumId w:val="1"/>
  </w:num>
  <w:num w:numId="8">
    <w:abstractNumId w:val="6"/>
  </w:num>
  <w:num w:numId="9">
    <w:abstractNumId w:val="9"/>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67811"/>
    <w:rsid w:val="00007FDC"/>
    <w:rsid w:val="00056E57"/>
    <w:rsid w:val="0006651A"/>
    <w:rsid w:val="00093F68"/>
    <w:rsid w:val="000B6F7A"/>
    <w:rsid w:val="000E2BDB"/>
    <w:rsid w:val="000E7F2B"/>
    <w:rsid w:val="001000BF"/>
    <w:rsid w:val="00111A27"/>
    <w:rsid w:val="00136EFB"/>
    <w:rsid w:val="00152460"/>
    <w:rsid w:val="0017243F"/>
    <w:rsid w:val="001B7CE6"/>
    <w:rsid w:val="001D38F0"/>
    <w:rsid w:val="001D46D1"/>
    <w:rsid w:val="001D4928"/>
    <w:rsid w:val="001D4D57"/>
    <w:rsid w:val="00200223"/>
    <w:rsid w:val="00230DAB"/>
    <w:rsid w:val="00241C24"/>
    <w:rsid w:val="00257692"/>
    <w:rsid w:val="002772B3"/>
    <w:rsid w:val="002E4C93"/>
    <w:rsid w:val="002E5647"/>
    <w:rsid w:val="002F4D2C"/>
    <w:rsid w:val="0031153D"/>
    <w:rsid w:val="00321808"/>
    <w:rsid w:val="00344FB5"/>
    <w:rsid w:val="0035316E"/>
    <w:rsid w:val="00354A21"/>
    <w:rsid w:val="00384234"/>
    <w:rsid w:val="00386822"/>
    <w:rsid w:val="003D6A8D"/>
    <w:rsid w:val="003E6194"/>
    <w:rsid w:val="003F5B81"/>
    <w:rsid w:val="00414B1A"/>
    <w:rsid w:val="0043398B"/>
    <w:rsid w:val="004340C0"/>
    <w:rsid w:val="00435D66"/>
    <w:rsid w:val="00483E1F"/>
    <w:rsid w:val="00485F1E"/>
    <w:rsid w:val="004B1249"/>
    <w:rsid w:val="004C7DBB"/>
    <w:rsid w:val="004D6EFA"/>
    <w:rsid w:val="004E584E"/>
    <w:rsid w:val="004E58C0"/>
    <w:rsid w:val="00501FCA"/>
    <w:rsid w:val="00522629"/>
    <w:rsid w:val="00543D53"/>
    <w:rsid w:val="00555729"/>
    <w:rsid w:val="0056017B"/>
    <w:rsid w:val="005735D7"/>
    <w:rsid w:val="005C4096"/>
    <w:rsid w:val="005E4A08"/>
    <w:rsid w:val="005F30D3"/>
    <w:rsid w:val="005F3910"/>
    <w:rsid w:val="00610E9B"/>
    <w:rsid w:val="00646798"/>
    <w:rsid w:val="006603B0"/>
    <w:rsid w:val="00662A92"/>
    <w:rsid w:val="00667F99"/>
    <w:rsid w:val="006815AF"/>
    <w:rsid w:val="0068233F"/>
    <w:rsid w:val="006B4227"/>
    <w:rsid w:val="006D13C2"/>
    <w:rsid w:val="006D252E"/>
    <w:rsid w:val="00710C7C"/>
    <w:rsid w:val="00710F51"/>
    <w:rsid w:val="00724822"/>
    <w:rsid w:val="007442C7"/>
    <w:rsid w:val="00753B14"/>
    <w:rsid w:val="007563E8"/>
    <w:rsid w:val="007A38C1"/>
    <w:rsid w:val="007A45A5"/>
    <w:rsid w:val="007B6E0D"/>
    <w:rsid w:val="007C528A"/>
    <w:rsid w:val="007D7BCE"/>
    <w:rsid w:val="007E0A63"/>
    <w:rsid w:val="007E43E0"/>
    <w:rsid w:val="007F1A35"/>
    <w:rsid w:val="008001E1"/>
    <w:rsid w:val="00802895"/>
    <w:rsid w:val="00812924"/>
    <w:rsid w:val="008149C0"/>
    <w:rsid w:val="00842C5F"/>
    <w:rsid w:val="00871C6C"/>
    <w:rsid w:val="00872F86"/>
    <w:rsid w:val="008A3F49"/>
    <w:rsid w:val="008B07FB"/>
    <w:rsid w:val="008B227E"/>
    <w:rsid w:val="008C1B2C"/>
    <w:rsid w:val="008C663D"/>
    <w:rsid w:val="008D44BA"/>
    <w:rsid w:val="00925F2D"/>
    <w:rsid w:val="00930FDD"/>
    <w:rsid w:val="0096622A"/>
    <w:rsid w:val="00966636"/>
    <w:rsid w:val="009A1EF1"/>
    <w:rsid w:val="009C675D"/>
    <w:rsid w:val="009E779C"/>
    <w:rsid w:val="009F3B5D"/>
    <w:rsid w:val="00A41F73"/>
    <w:rsid w:val="00A4665F"/>
    <w:rsid w:val="00A61A5E"/>
    <w:rsid w:val="00A72C43"/>
    <w:rsid w:val="00A74686"/>
    <w:rsid w:val="00A852D1"/>
    <w:rsid w:val="00A95044"/>
    <w:rsid w:val="00AA0DAE"/>
    <w:rsid w:val="00AA5D36"/>
    <w:rsid w:val="00AB3667"/>
    <w:rsid w:val="00AB487A"/>
    <w:rsid w:val="00B002CC"/>
    <w:rsid w:val="00B0670B"/>
    <w:rsid w:val="00B2337A"/>
    <w:rsid w:val="00B75921"/>
    <w:rsid w:val="00B84618"/>
    <w:rsid w:val="00B8531D"/>
    <w:rsid w:val="00BC13E8"/>
    <w:rsid w:val="00BC1C25"/>
    <w:rsid w:val="00BC7065"/>
    <w:rsid w:val="00BF1A09"/>
    <w:rsid w:val="00BF66B5"/>
    <w:rsid w:val="00C10EF3"/>
    <w:rsid w:val="00C2484B"/>
    <w:rsid w:val="00C4512C"/>
    <w:rsid w:val="00C648CB"/>
    <w:rsid w:val="00C67811"/>
    <w:rsid w:val="00C708FA"/>
    <w:rsid w:val="00C853F7"/>
    <w:rsid w:val="00C855A0"/>
    <w:rsid w:val="00C8749B"/>
    <w:rsid w:val="00CA5B51"/>
    <w:rsid w:val="00CA63E4"/>
    <w:rsid w:val="00CB38E1"/>
    <w:rsid w:val="00CE5BB8"/>
    <w:rsid w:val="00D03D77"/>
    <w:rsid w:val="00D15817"/>
    <w:rsid w:val="00D2699C"/>
    <w:rsid w:val="00D57D12"/>
    <w:rsid w:val="00D60370"/>
    <w:rsid w:val="00D9671A"/>
    <w:rsid w:val="00DB0C28"/>
    <w:rsid w:val="00DE4BD0"/>
    <w:rsid w:val="00E03B28"/>
    <w:rsid w:val="00E17516"/>
    <w:rsid w:val="00E31A12"/>
    <w:rsid w:val="00E4081E"/>
    <w:rsid w:val="00E41BA1"/>
    <w:rsid w:val="00E43002"/>
    <w:rsid w:val="00E74874"/>
    <w:rsid w:val="00EA0274"/>
    <w:rsid w:val="00EB679A"/>
    <w:rsid w:val="00EC2F32"/>
    <w:rsid w:val="00ED0B9A"/>
    <w:rsid w:val="00EE3438"/>
    <w:rsid w:val="00F05977"/>
    <w:rsid w:val="00F249EE"/>
    <w:rsid w:val="00F2739C"/>
    <w:rsid w:val="00F851E4"/>
    <w:rsid w:val="00F87F04"/>
    <w:rsid w:val="00FA04BB"/>
    <w:rsid w:val="00FA3397"/>
    <w:rsid w:val="00FC2448"/>
    <w:rsid w:val="00FD5CBD"/>
    <w:rsid w:val="00FF3ACC"/>
    <w:rsid w:val="00FF4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67811"/>
    <w:pPr>
      <w:spacing w:after="0" w:line="240" w:lineRule="auto"/>
    </w:pPr>
    <w:rPr>
      <w:rFonts w:ascii="Georgia" w:hAnsi="Georgia"/>
      <w:sz w:val="20"/>
      <w:szCs w:val="20"/>
      <w:lang w:val="en-GB"/>
    </w:rPr>
  </w:style>
  <w:style w:type="character" w:customStyle="1" w:styleId="FootnoteTextChar">
    <w:name w:val="Footnote Text Char"/>
    <w:basedOn w:val="DefaultParagraphFont"/>
    <w:link w:val="FootnoteText"/>
    <w:uiPriority w:val="99"/>
    <w:semiHidden/>
    <w:rsid w:val="00C67811"/>
    <w:rPr>
      <w:rFonts w:ascii="Georgia" w:hAnsi="Georgia"/>
      <w:sz w:val="20"/>
      <w:szCs w:val="20"/>
      <w:lang w:val="en-GB"/>
    </w:rPr>
  </w:style>
  <w:style w:type="character" w:customStyle="1" w:styleId="docheader1">
    <w:name w:val="doc_header1"/>
    <w:basedOn w:val="DefaultParagraphFont"/>
    <w:rsid w:val="00C67811"/>
    <w:rPr>
      <w:rFonts w:ascii="Times New Roman" w:hAnsi="Times New Roman" w:cs="Times New Roman" w:hint="default"/>
      <w:b/>
      <w:bCs/>
      <w:color w:val="000000"/>
      <w:sz w:val="24"/>
      <w:szCs w:val="24"/>
    </w:rPr>
  </w:style>
  <w:style w:type="character" w:styleId="FootnoteReference">
    <w:name w:val="footnote reference"/>
    <w:basedOn w:val="DefaultParagraphFont"/>
    <w:semiHidden/>
    <w:unhideWhenUsed/>
    <w:rsid w:val="00C67811"/>
    <w:rPr>
      <w:vertAlign w:val="superscript"/>
    </w:rPr>
  </w:style>
  <w:style w:type="paragraph" w:styleId="ListParagraph">
    <w:name w:val="List Paragraph"/>
    <w:basedOn w:val="Normal"/>
    <w:uiPriority w:val="34"/>
    <w:unhideWhenUsed/>
    <w:qFormat/>
    <w:rsid w:val="00C67811"/>
    <w:pPr>
      <w:spacing w:after="240" w:line="240" w:lineRule="atLeast"/>
      <w:ind w:left="720"/>
      <w:contextualSpacing/>
    </w:pPr>
    <w:rPr>
      <w:rFonts w:ascii="Georgia" w:hAnsi="Georgia"/>
      <w:sz w:val="20"/>
      <w:szCs w:val="20"/>
      <w:lang w:val="en-GB"/>
    </w:rPr>
  </w:style>
  <w:style w:type="paragraph" w:styleId="BodyText">
    <w:name w:val="Body Text"/>
    <w:basedOn w:val="Normal"/>
    <w:link w:val="BodyTextChar"/>
    <w:unhideWhenUsed/>
    <w:qFormat/>
    <w:rsid w:val="00C67811"/>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C67811"/>
    <w:rPr>
      <w:rFonts w:ascii="Georgia" w:hAnsi="Georgia"/>
      <w:sz w:val="20"/>
      <w:szCs w:val="20"/>
      <w:lang w:val="en-GB"/>
    </w:rPr>
  </w:style>
  <w:style w:type="character" w:customStyle="1" w:styleId="hps">
    <w:name w:val="hps"/>
    <w:basedOn w:val="DefaultParagraphFont"/>
    <w:rsid w:val="00C67811"/>
  </w:style>
  <w:style w:type="paragraph" w:styleId="Header">
    <w:name w:val="header"/>
    <w:basedOn w:val="Normal"/>
    <w:link w:val="HeaderChar"/>
    <w:uiPriority w:val="99"/>
    <w:semiHidden/>
    <w:unhideWhenUsed/>
    <w:rsid w:val="00D57D1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57D12"/>
  </w:style>
  <w:style w:type="paragraph" w:styleId="Footer">
    <w:name w:val="footer"/>
    <w:basedOn w:val="Normal"/>
    <w:link w:val="FooterChar"/>
    <w:uiPriority w:val="99"/>
    <w:semiHidden/>
    <w:unhideWhenUsed/>
    <w:rsid w:val="00D57D1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D57D12"/>
  </w:style>
  <w:style w:type="paragraph" w:styleId="BalloonText">
    <w:name w:val="Balloon Text"/>
    <w:basedOn w:val="Normal"/>
    <w:link w:val="BalloonTextChar"/>
    <w:uiPriority w:val="99"/>
    <w:semiHidden/>
    <w:unhideWhenUsed/>
    <w:rsid w:val="00E0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67811"/>
    <w:pPr>
      <w:spacing w:after="0" w:line="240" w:lineRule="auto"/>
    </w:pPr>
    <w:rPr>
      <w:rFonts w:ascii="Georgia" w:hAnsi="Georgia"/>
      <w:sz w:val="20"/>
      <w:szCs w:val="20"/>
      <w:lang w:val="en-GB"/>
    </w:rPr>
  </w:style>
  <w:style w:type="character" w:customStyle="1" w:styleId="FootnoteTextChar">
    <w:name w:val="Footnote Text Char"/>
    <w:basedOn w:val="DefaultParagraphFont"/>
    <w:link w:val="FootnoteText"/>
    <w:uiPriority w:val="99"/>
    <w:semiHidden/>
    <w:rsid w:val="00C67811"/>
    <w:rPr>
      <w:rFonts w:ascii="Georgia" w:hAnsi="Georgia"/>
      <w:sz w:val="20"/>
      <w:szCs w:val="20"/>
      <w:lang w:val="en-GB"/>
    </w:rPr>
  </w:style>
  <w:style w:type="character" w:customStyle="1" w:styleId="docheader1">
    <w:name w:val="doc_header1"/>
    <w:basedOn w:val="DefaultParagraphFont"/>
    <w:rsid w:val="00C67811"/>
    <w:rPr>
      <w:rFonts w:ascii="Times New Roman" w:hAnsi="Times New Roman" w:cs="Times New Roman" w:hint="default"/>
      <w:b/>
      <w:bCs/>
      <w:color w:val="000000"/>
      <w:sz w:val="24"/>
      <w:szCs w:val="24"/>
    </w:rPr>
  </w:style>
  <w:style w:type="character" w:styleId="FootnoteReference">
    <w:name w:val="footnote reference"/>
    <w:basedOn w:val="DefaultParagraphFont"/>
    <w:semiHidden/>
    <w:unhideWhenUsed/>
    <w:rsid w:val="00C67811"/>
    <w:rPr>
      <w:vertAlign w:val="superscript"/>
    </w:rPr>
  </w:style>
  <w:style w:type="paragraph" w:styleId="ListParagraph">
    <w:name w:val="List Paragraph"/>
    <w:basedOn w:val="Normal"/>
    <w:uiPriority w:val="99"/>
    <w:unhideWhenUsed/>
    <w:qFormat/>
    <w:rsid w:val="00C67811"/>
    <w:pPr>
      <w:spacing w:after="240" w:line="240" w:lineRule="atLeast"/>
      <w:ind w:left="720"/>
      <w:contextualSpacing/>
    </w:pPr>
    <w:rPr>
      <w:rFonts w:ascii="Georgia" w:hAnsi="Georgia"/>
      <w:sz w:val="20"/>
      <w:szCs w:val="20"/>
      <w:lang w:val="en-GB"/>
    </w:rPr>
  </w:style>
  <w:style w:type="paragraph" w:styleId="BodyText">
    <w:name w:val="Body Text"/>
    <w:basedOn w:val="Normal"/>
    <w:link w:val="BodyTextChar"/>
    <w:unhideWhenUsed/>
    <w:qFormat/>
    <w:rsid w:val="00C67811"/>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C67811"/>
    <w:rPr>
      <w:rFonts w:ascii="Georgia" w:hAnsi="Georgia"/>
      <w:sz w:val="20"/>
      <w:szCs w:val="20"/>
      <w:lang w:val="en-GB"/>
    </w:rPr>
  </w:style>
  <w:style w:type="character" w:customStyle="1" w:styleId="hps">
    <w:name w:val="hps"/>
    <w:basedOn w:val="DefaultParagraphFont"/>
    <w:rsid w:val="00C67811"/>
  </w:style>
  <w:style w:type="paragraph" w:styleId="Header">
    <w:name w:val="header"/>
    <w:basedOn w:val="Normal"/>
    <w:link w:val="HeaderChar"/>
    <w:uiPriority w:val="99"/>
    <w:semiHidden/>
    <w:unhideWhenUsed/>
    <w:rsid w:val="00D57D1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57D12"/>
  </w:style>
  <w:style w:type="paragraph" w:styleId="Footer">
    <w:name w:val="footer"/>
    <w:basedOn w:val="Normal"/>
    <w:link w:val="FooterChar"/>
    <w:uiPriority w:val="99"/>
    <w:semiHidden/>
    <w:unhideWhenUsed/>
    <w:rsid w:val="00D57D1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D57D12"/>
  </w:style>
  <w:style w:type="paragraph" w:styleId="BalloonText">
    <w:name w:val="Balloon Text"/>
    <w:basedOn w:val="Normal"/>
    <w:link w:val="BalloonTextChar"/>
    <w:uiPriority w:val="99"/>
    <w:semiHidden/>
    <w:unhideWhenUsed/>
    <w:rsid w:val="00E0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FF5C-ADA1-477F-A565-A5A0B762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isturzu002</dc:creator>
  <cp:lastModifiedBy>uf932925</cp:lastModifiedBy>
  <cp:revision>5</cp:revision>
  <cp:lastPrinted>2013-02-04T10:06:00Z</cp:lastPrinted>
  <dcterms:created xsi:type="dcterms:W3CDTF">2013-02-04T09:48:00Z</dcterms:created>
  <dcterms:modified xsi:type="dcterms:W3CDTF">2013-02-04T10:12:00Z</dcterms:modified>
</cp:coreProperties>
</file>